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661A2"/>
          <w:sz w:val="20"/>
        </w:rPr>
        <w:t>GOV-POL-06</w:t>
      </w:r>
    </w:p>
    <w:p>
      <w:r>
        <w:rPr>
          <w:b/>
          <w:color w:val="0B2D4D"/>
          <w:sz w:val="44"/>
        </w:rPr>
        <w:t>Authentication, password and multi-factor policy</w:t>
      </w:r>
    </w:p>
    <w:p>
      <w:r>
        <w:rPr>
          <w:i/>
          <w:color w:val="526478"/>
        </w:rPr>
        <w:t>The rules for passwords, password managers, multi-factor authentication, secrets, lockout, initial credentials, recovery and sessions on every [Organisation] system, for people and for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GOV-POL-06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Title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Authentication, password and multi-factor policy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Type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Policy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Cross-framework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Requirements served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ISO/IEC 27001:2022 Annex A 5.17; ISO/IEC 27001:2022 Annex A 8.5; SOC 2 CC6.1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Owner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Information Security Manager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Approver (role)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Chief Executive Officer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Internal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1.0 (template)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</w:tr>
      <w:tr>
        <w:tc>
          <w:tcPr>
            <w:tcW w:type="dxa" w:w="2551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Review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sz w:val="19"/>
              </w:rPr>
              <w:t>Annual</w:t>
            </w:r>
          </w:p>
        </w:tc>
      </w:tr>
    </w:tbl>
    <w:p/>
    <w:p>
      <w:r>
        <w:rPr>
          <w:b/>
          <w:color w:val="0B2D4D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Change</w:t>
            </w:r>
          </w:p>
        </w:tc>
        <w:tc>
          <w:tcPr>
            <w:tcW w:type="dxa" w:w="2436"/>
            <w:shd w:val="clear" w:color="auto" w:fill="EEF3F8"/>
          </w:tcPr>
          <w:p>
            <w:pPr>
              <w:spacing w:after="40"/>
            </w:pPr>
            <w:r>
              <w:rPr>
                <w:b/>
                <w:sz w:val="19"/>
              </w:rPr>
              <w:t>Approved by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[Date]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First issue from the kit template</w:t>
            </w:r>
          </w:p>
        </w:tc>
        <w:tc>
          <w:tcPr>
            <w:tcW w:type="dxa" w:w="2436"/>
          </w:tcPr>
          <w:p>
            <w:pPr>
              <w:spacing w:after="40"/>
            </w:pPr>
            <w:r>
              <w:rPr>
                <w:sz w:val="19"/>
              </w:rPr>
              <w:t>[Role]</w:t>
            </w:r>
          </w:p>
        </w:tc>
      </w:tr>
    </w:tbl>
    <w:p/>
    <w:p>
      <w:pPr>
        <w:pStyle w:val="Heading1"/>
      </w:pPr>
      <w:r>
        <w:t>1. Purpose</w:t>
      </w:r>
    </w:p>
    <w:p>
      <w:r>
        <w:rPr>
          <w:b w:val="0"/>
          <w:i w:val="0"/>
        </w:rPr>
        <w:t>This policy sets how people and services prove who they are to [Organisation] systems, so that a stolen or guessed password is not enough to get in and secrets do not leak through code, chat or documents.</w:t>
      </w:r>
    </w:p>
    <w:p>
      <w:pPr>
        <w:pStyle w:val="Heading1"/>
      </w:pPr>
      <w:r>
        <w:t>2. Scope</w:t>
      </w:r>
    </w:p>
    <w:p>
      <w:r>
        <w:rPr>
          <w:b w:val="0"/>
          <w:i w:val="0"/>
        </w:rPr>
        <w:t>It applies to every account on every system [Organisation] owns, administers or subscribes to, including user, administrator, service and emergency accounts, and to every password, key, token and certificate used to authenticate to them.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Role</w:t>
            </w:r>
          </w:p>
        </w:tc>
        <w:tc>
          <w:tcPr>
            <w:tcW w:type="dxa" w:w="4873"/>
            <w:shd w:val="clear" w:color="auto" w:fill="EEF3F8"/>
          </w:tcPr>
          <w:p>
            <w:pPr>
              <w:spacing w:after="40"/>
            </w:pPr>
            <w:r>
              <w:rPr>
                <w:b/>
                <w:i w:val="0"/>
                <w:sz w:val="19"/>
              </w:rPr>
              <w:t>Responsibility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All users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Choose and protect credentials as stated below, enrol in multi-factor authentication, report suspected exposure.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System Owner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Configures each system to enforce these statements, or records a risk acceptance.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IT Manager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Operates the identity provider, password manager, secrets store and help desk recovery process.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Information Security Manager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b w:val="0"/>
                <w:i w:val="0"/>
                <w:sz w:val="19"/>
              </w:rPr>
              <w:t>Owns the policy, reviews configuration evidence quarterly, approves exceptions.</w:t>
            </w:r>
          </w:p>
        </w:tc>
      </w:tr>
    </w:tbl>
    <w:p/>
    <w:p>
      <w:pPr>
        <w:pStyle w:val="Heading1"/>
      </w:pPr>
      <w:r>
        <w:t>4. Policy statements</w:t>
      </w:r>
    </w:p>
    <w:p>
      <w:r>
        <w:rPr>
          <w:b w:val="0"/>
          <w:i w:val="0"/>
        </w:rPr>
        <w:t xml:space="preserve">4.1 </w:t>
      </w:r>
      <w:r>
        <w:rPr>
          <w:b/>
        </w:rPr>
        <w:t>One identity per account.</w:t>
      </w:r>
      <w:r>
        <w:rPr>
          <w:b w:val="0"/>
          <w:i w:val="0"/>
        </w:rPr>
        <w:t xml:space="preserve"> Every account belongs to one person or one named service under GOV-PRO-10, and every system above Public classification requires authentication before access.</w:t>
      </w:r>
    </w:p>
    <w:p>
      <w:r>
        <w:rPr>
          <w:b w:val="0"/>
          <w:i w:val="0"/>
        </w:rPr>
        <w:t xml:space="preserve">4.2 </w:t>
      </w:r>
      <w:r>
        <w:rPr>
          <w:b/>
        </w:rPr>
        <w:t>Length.</w:t>
      </w:r>
      <w:r>
        <w:rPr>
          <w:b w:val="0"/>
          <w:i w:val="0"/>
        </w:rPr>
        <w:t xml:space="preserve"> A user password or passphrase is at least 14 characters. Systems accept at least 64 characters and impose no rules on mixing character types. A passphrase of several unrelated words is encouraged.</w:t>
      </w:r>
    </w:p>
    <w:p>
      <w:r>
        <w:rPr>
          <w:b w:val="0"/>
          <w:i w:val="0"/>
        </w:rPr>
        <w:t xml:space="preserve">4.3 </w:t>
      </w:r>
      <w:r>
        <w:rPr>
          <w:b/>
        </w:rPr>
        <w:t>Screening.</w:t>
      </w:r>
      <w:r>
        <w:rPr>
          <w:b w:val="0"/>
          <w:i w:val="0"/>
        </w:rPr>
        <w:t xml:space="preserve"> A new password is rejected if it appears on a list of known breached or common passwords, or contains the user's or [Organisation]'s name.</w:t>
      </w:r>
    </w:p>
    <w:p>
      <w:r>
        <w:rPr>
          <w:b w:val="0"/>
          <w:i w:val="0"/>
        </w:rPr>
        <w:t xml:space="preserve">4.4 </w:t>
      </w:r>
      <w:r>
        <w:rPr>
          <w:b/>
        </w:rPr>
        <w:t>No scheduled expiry.</w:t>
      </w:r>
      <w:r>
        <w:rPr>
          <w:b w:val="0"/>
          <w:i w:val="0"/>
        </w:rPr>
        <w:t xml:space="preserve"> Passwords change only on suspected compromise, when a person who knew a shared or privileged credential leaves, or where a system cannot meet 4.7 and its risk acceptance requires it. The last [Number] passwords may not be reused.</w:t>
      </w:r>
    </w:p>
    <w:p>
      <w:r>
        <w:rPr>
          <w:b w:val="0"/>
          <w:i w:val="0"/>
        </w:rPr>
        <w:t xml:space="preserve">4.5 </w:t>
      </w:r>
      <w:r>
        <w:rPr>
          <w:b/>
        </w:rPr>
        <w:t>Unique passwords.</w:t>
      </w:r>
      <w:r>
        <w:rPr>
          <w:b w:val="0"/>
          <w:i w:val="0"/>
        </w:rPr>
        <w:t xml:space="preserve"> Every account has its own password; a work password is never reused for a personal account or another [Organisation] system.</w:t>
      </w:r>
    </w:p>
    <w:p>
      <w:r>
        <w:rPr>
          <w:b w:val="0"/>
          <w:i w:val="0"/>
        </w:rPr>
        <w:t xml:space="preserve">4.6 </w:t>
      </w:r>
      <w:r>
        <w:rPr>
          <w:b/>
        </w:rPr>
        <w:t>Password manager.</w:t>
      </w:r>
      <w:r>
        <w:rPr>
          <w:b w:val="0"/>
          <w:i w:val="0"/>
        </w:rPr>
        <w:t xml:space="preserve"> Every user keeps work credentials in the password manager approved by the IT Manager, protected by a passphrase of at least 20 characters and multi-factor authentication. Credentials are not kept in browser stores, documents, spreadsheets or notes.</w:t>
      </w:r>
    </w:p>
    <w:p>
      <w:r>
        <w:rPr>
          <w:b w:val="0"/>
          <w:i w:val="0"/>
        </w:rPr>
        <w:t xml:space="preserve">4.7 </w:t>
      </w:r>
      <w:r>
        <w:rPr>
          <w:b/>
        </w:rPr>
        <w:t>Multi-factor authentication.</w:t>
      </w:r>
      <w:r>
        <w:rPr>
          <w:b w:val="0"/>
          <w:i w:val="0"/>
        </w:rPr>
        <w:t xml:space="preserve"> Multi-factor authentication is required for all remote and privileged access and for every other system that supports it, enrolled before first use. Privileged accounts and identity administrators use phishing-resistant methods (hardware security keys or platform authenticators); other users may use an authenticator application; text message codes are a documented fallback only. Users deny and report any prompt they did not initiate.</w:t>
      </w:r>
    </w:p>
    <w:p>
      <w:r>
        <w:rPr>
          <w:b w:val="0"/>
          <w:i w:val="0"/>
        </w:rPr>
        <w:t xml:space="preserve">4.8 </w:t>
      </w:r>
      <w:r>
        <w:rPr>
          <w:b/>
        </w:rPr>
        <w:t>Secrets.</w:t>
      </w:r>
      <w:r>
        <w:rPr>
          <w:b w:val="0"/>
          <w:i w:val="0"/>
        </w:rPr>
        <w:t xml:space="preserve"> Passwords, keys, tokens, certificates and connection strings are never placed in source code, committed configuration, tickets, chat, email, documents or spreadsheets. They live in the secrets store under GOV-PRO-20 with a named owner and an expiry date. A secret found exposed is rotated within 24 hours and reported under GOV-PRO-07.</w:t>
      </w:r>
    </w:p>
    <w:p>
      <w:r>
        <w:rPr>
          <w:b w:val="0"/>
          <w:i w:val="0"/>
        </w:rPr>
        <w:t xml:space="preserve">4.9 </w:t>
      </w:r>
      <w:r>
        <w:rPr>
          <w:b/>
        </w:rPr>
        <w:t>Service accounts and keys.</w:t>
      </w:r>
      <w:r>
        <w:rPr>
          <w:b w:val="0"/>
          <w:i w:val="0"/>
        </w:rPr>
        <w:t xml:space="preserve"> Service credentials and API keys are generated at random with at least 32 characters, scoped to the minimum permissions, rotated at least annually and when a person who had access leaves, and recorded in GOV-REG-13.</w:t>
      </w:r>
    </w:p>
    <w:p>
      <w:r>
        <w:rPr>
          <w:b w:val="0"/>
          <w:i w:val="0"/>
        </w:rPr>
        <w:t xml:space="preserve">4.10 </w:t>
      </w:r>
      <w:r>
        <w:rPr>
          <w:b/>
        </w:rPr>
        <w:t>Lockout.</w:t>
      </w:r>
      <w:r>
        <w:rPr>
          <w:b w:val="0"/>
          <w:i w:val="0"/>
        </w:rPr>
        <w:t xml:space="preserve"> An account locks after no more than ten consecutive failed attempts, for at least 15 minutes or with a progressive delay. Lockouts are logged and repeated lockouts raise an alert under GOV-PRO-14. A privileged account stays locked until an administrator has confirmed the holder's identity.</w:t>
      </w:r>
    </w:p>
    <w:p>
      <w:r>
        <w:rPr>
          <w:b w:val="0"/>
          <w:i w:val="0"/>
        </w:rPr>
        <w:t xml:space="preserve">4.11 </w:t>
      </w:r>
      <w:r>
        <w:rPr>
          <w:b/>
        </w:rPr>
        <w:t>Initial credentials.</w:t>
      </w:r>
      <w:r>
        <w:rPr>
          <w:b w:val="0"/>
          <w:i w:val="0"/>
        </w:rPr>
        <w:t xml:space="preserve"> A first or reset credential is unique, delivered through a channel separate from the account name, valid for no more than 24 hours and changed at first use. Default vendor credentials are changed before a device or application connects to the network.</w:t>
      </w:r>
    </w:p>
    <w:p>
      <w:r>
        <w:rPr>
          <w:b w:val="0"/>
          <w:i w:val="0"/>
        </w:rPr>
        <w:t xml:space="preserve">4.12 </w:t>
      </w:r>
      <w:r>
        <w:rPr>
          <w:b/>
        </w:rPr>
        <w:t>Recovery.</w:t>
      </w:r>
      <w:r>
        <w:rPr>
          <w:b w:val="0"/>
          <w:i w:val="0"/>
        </w:rPr>
        <w:t xml:space="preserve"> The help desk resets a credential or re-enrols multi-factor authentication only after verifying identity independently of the request (a call back to a registered number, line manager confirmation or an in-person check), never on a single email or chat request. Self-service resets require multi-factor authentication. Recovery codes are kept in the password manager.</w:t>
      </w:r>
    </w:p>
    <w:p>
      <w:r>
        <w:rPr>
          <w:b w:val="0"/>
          <w:i w:val="0"/>
        </w:rPr>
        <w:t xml:space="preserve">4.13 </w:t>
      </w:r>
      <w:r>
        <w:rPr>
          <w:b/>
        </w:rPr>
        <w:t>Sessions.</w:t>
      </w:r>
      <w:r>
        <w:rPr>
          <w:b w:val="0"/>
          <w:i w:val="0"/>
        </w:rPr>
        <w:t xml:space="preserve"> Sessions end after no more than [Number] minutes of inactivity, and sooner for privileged sessions as set by the System Owner. Sensitive actions require re-authentication. Users sign out of shared devices.</w:t>
      </w:r>
    </w:p>
    <w:p>
      <w:r>
        <w:rPr>
          <w:b w:val="0"/>
          <w:i w:val="0"/>
        </w:rPr>
        <w:t xml:space="preserve">4.14 </w:t>
      </w:r>
      <w:r>
        <w:rPr>
          <w:b/>
        </w:rPr>
        <w:t>Protection of credentials.</w:t>
      </w:r>
      <w:r>
        <w:rPr>
          <w:b w:val="0"/>
          <w:i w:val="0"/>
        </w:rPr>
        <w:t xml:space="preserve"> Credentials travel only over encrypted channels, are stored only as salted hashes from an algorithm family approved under GOV-PRO-20, and are never written to logs.</w:t>
      </w:r>
    </w:p>
    <w:p>
      <w:r>
        <w:rPr>
          <w:b w:val="0"/>
          <w:i w:val="0"/>
        </w:rPr>
        <w:t xml:space="preserve">4.15 </w:t>
      </w:r>
      <w:r>
        <w:rPr>
          <w:b/>
        </w:rPr>
        <w:t>Prohibited behaviour.</w:t>
      </w:r>
      <w:r>
        <w:rPr>
          <w:b w:val="0"/>
          <w:i w:val="0"/>
        </w:rPr>
        <w:t xml:space="preserve"> Users do not share credentials, write them down, enter them on a page reached from a message link without checking the address, or use them on an unmanaged device.</w:t>
      </w:r>
    </w:p>
    <w:p>
      <w:r>
        <w:rPr>
          <w:b w:val="0"/>
          <w:i w:val="0"/>
        </w:rPr>
        <w:t xml:space="preserve">4.16 </w:t>
      </w:r>
      <w:r>
        <w:rPr>
          <w:b/>
        </w:rPr>
        <w:t>Configuration evidence.</w:t>
      </w:r>
      <w:r>
        <w:rPr>
          <w:b w:val="0"/>
          <w:i w:val="0"/>
        </w:rPr>
        <w:t xml:space="preserve"> Each System Owner keeps an export of the settings that enforce these statements, refreshed after any change and at least yearly, which the Information Security Manager reviews quarterly.</w:t>
      </w:r>
    </w:p>
    <w:p>
      <w:pPr>
        <w:pStyle w:val="Heading1"/>
      </w:pPr>
      <w:r>
        <w:t>5. Records and evidence</w:t>
      </w:r>
    </w:p>
    <w:p>
      <w:pPr>
        <w:pStyle w:val="ListBullet"/>
      </w:pPr>
      <w:r>
        <w:rPr>
          <w:b w:val="0"/>
          <w:i w:val="0"/>
        </w:rPr>
        <w:t>Authentication configuration exports for each system.</w:t>
      </w:r>
    </w:p>
    <w:p>
      <w:pPr>
        <w:pStyle w:val="ListBullet"/>
      </w:pPr>
      <w:r>
        <w:rPr>
          <w:b w:val="0"/>
          <w:i w:val="0"/>
        </w:rPr>
        <w:t>Multi-factor enrolment, lockout and reset reports from the identity provider and help desk.</w:t>
      </w:r>
    </w:p>
    <w:p>
      <w:pPr>
        <w:pStyle w:val="ListBullet"/>
      </w:pPr>
      <w:r>
        <w:rPr>
          <w:b w:val="0"/>
          <w:i w:val="0"/>
        </w:rPr>
        <w:t>GOV-REG-13 Privileged account register with rotation dates.</w:t>
      </w:r>
    </w:p>
    <w:p>
      <w:pPr>
        <w:pStyle w:val="ListBullet"/>
      </w:pPr>
      <w:r>
        <w:rPr>
          <w:b w:val="0"/>
          <w:i w:val="0"/>
        </w:rPr>
        <w:t>Exposure incidents in GOV-REG-08.</w:t>
      </w:r>
    </w:p>
    <w:p>
      <w:pPr>
        <w:pStyle w:val="Heading1"/>
      </w:pPr>
      <w:r>
        <w:t>6. Exceptions</w:t>
      </w:r>
    </w:p>
    <w:p>
      <w:r>
        <w:rPr>
          <w:b w:val="0"/>
          <w:i w:val="0"/>
        </w:rPr>
        <w:t>A system that cannot meet a statement is recorded with compensating controls under GOV-PRO-24, approved by the Information Security Manager and reviewed at least every twelve months. No exception applies to statement 4.8.</w:t>
      </w:r>
    </w:p>
    <w:p>
      <w:pPr>
        <w:pStyle w:val="Heading1"/>
      </w:pPr>
      <w:r>
        <w:t>7. Review and maintenance</w:t>
      </w:r>
    </w:p>
    <w:p>
      <w:r>
        <w:rPr>
          <w:b w:val="0"/>
          <w:i w:val="0"/>
        </w:rPr>
        <w:t>The Information Security Manager reviews this policy annually, after a credential-related incident, and when the identity provider or password manager changes. Changes follow GOV-PRO-01.</w:t>
      </w:r>
    </w:p>
    <w:p>
      <w:pPr>
        <w:pStyle w:val="Heading1"/>
      </w:pPr>
      <w:r>
        <w:t>8. Related documents</w:t>
      </w:r>
    </w:p>
    <w:p>
      <w:pPr>
        <w:pStyle w:val="ListBullet"/>
      </w:pPr>
      <w:r>
        <w:rPr>
          <w:b w:val="0"/>
          <w:i w:val="0"/>
        </w:rPr>
        <w:t>GOV-PRO-10 Access management procedure (joiners, movers, leavers, privileged access, reviews)</w:t>
      </w:r>
    </w:p>
    <w:p>
      <w:pPr>
        <w:pStyle w:val="ListBullet"/>
      </w:pPr>
      <w:r>
        <w:rPr>
          <w:b w:val="0"/>
          <w:i w:val="0"/>
        </w:rPr>
        <w:t>GOV-REG-13 Privileged account register</w:t>
      </w:r>
    </w:p>
    <w:p>
      <w:pPr>
        <w:pStyle w:val="ListBullet"/>
      </w:pPr>
      <w:r>
        <w:rPr>
          <w:b w:val="0"/>
          <w:i w:val="0"/>
        </w:rPr>
        <w:t>GOV-PRO-20 Cryptography and key management procedure</w:t>
      </w:r>
    </w:p>
    <w:p>
      <w:pPr>
        <w:pStyle w:val="ListBullet"/>
      </w:pPr>
      <w:r>
        <w:rPr>
          <w:b w:val="0"/>
          <w:i w:val="0"/>
        </w:rPr>
        <w:t>GOV-PRO-14 Logging, monitoring and alert handling procedure</w:t>
      </w:r>
    </w:p>
    <w:p>
      <w:pPr>
        <w:pStyle w:val="ListBullet"/>
      </w:pPr>
      <w:r>
        <w:rPr>
          <w:b w:val="0"/>
          <w:i w:val="0"/>
        </w:rPr>
        <w:t>GOV-PRO-07 Information security incident management procedure</w:t>
      </w:r>
    </w:p>
    <w:p/>
    <w:p>
      <w:r>
        <w:rPr>
          <w:i/>
          <w:color w:val="526478"/>
          <w:sz w:val="17"/>
        </w:rPr>
        <w:t>This document is a template from an open documentation kit. Replace every item in square brackets, remove what does not apply, and have the approver sign it before use. A template is not evidence of compliance.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478"/>
        <w:sz w:val="16"/>
      </w:rPr>
      <w:t xml:space="preserve">GOV-POL-06  |  Authentication, password and multi-factor policy  |  Version 1.0  |  Internal  |  Page </w:t>
    </w:r>
    <w:r>
      <w:rPr>
        <w:color w:val="526478"/>
        <w:sz w:val="16"/>
      </w:rPr>
      <w:fldChar w:fldCharType="begin"/>
    </w:r>
    <w:r>
      <w:rPr>
        <w:color w:val="526478"/>
        <w:sz w:val="16"/>
      </w:rPr>
      <w:instrText xml:space="preserve">PAGE</w:instrText>
    </w:r>
    <w:r>
      <w:rPr>
        <w:color w:val="52647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B2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