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661A2"/>
          <w:sz w:val="20"/>
        </w:rPr>
        <w:t>GDPR-GDE-02</w:t>
      </w:r>
    </w:p>
    <w:p>
      <w:r>
        <w:rPr>
          <w:b/>
          <w:color w:val="0B2D4D"/>
          <w:sz w:val="44"/>
        </w:rPr>
        <w:t>Guide: GDPR articles mapped to the kit</w:t>
      </w:r>
    </w:p>
    <w:p>
      <w:r>
        <w:rPr>
          <w:i/>
          <w:color w:val="526478"/>
        </w:rPr>
        <w:t>The operational GDPR articles, each stated in plain words with the kit documents and registers that help you meet it. Read the regulation for the authoritative text.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Document ID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GDPR-GDE-02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Title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Guide: GDPR articles mapped to the kit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Type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Guide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Framework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GDPR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Requirements served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GDPR Article 5; GDPR Article 30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Owner (role)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Privacy Officer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Approver (role)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Chief Executive Officer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Classification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Internal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Version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1.0 (template)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Effective date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[Date]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Review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Annual</w:t>
            </w:r>
          </w:p>
        </w:tc>
      </w:tr>
    </w:tbl>
    <w:p/>
    <w:p>
      <w:r>
        <w:rPr>
          <w:b/>
          <w:color w:val="0B2D4D"/>
        </w:rP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Version</w:t>
            </w:r>
          </w:p>
        </w:tc>
        <w:tc>
          <w:tcPr>
            <w:tcW w:type="dxa" w:w="2436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Date</w:t>
            </w:r>
          </w:p>
        </w:tc>
        <w:tc>
          <w:tcPr>
            <w:tcW w:type="dxa" w:w="2436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Change</w:t>
            </w:r>
          </w:p>
        </w:tc>
        <w:tc>
          <w:tcPr>
            <w:tcW w:type="dxa" w:w="2436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Approved by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1.0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[Date]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First issue from the kit template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[Role]</w:t>
            </w:r>
          </w:p>
        </w:tc>
      </w:tr>
    </w:tbl>
    <w:p/>
    <w:p>
      <w:pPr>
        <w:pStyle w:val="Heading1"/>
      </w:pPr>
      <w:r>
        <w:t>1. How to read this</w:t>
      </w:r>
    </w:p>
    <w:p>
      <w:r>
        <w:rPr>
          <w:b w:val="0"/>
          <w:i w:val="0"/>
        </w:rPr>
        <w:t>Each row names an article, the obligation in plain words, and the kit documents or registers that address it. This is a map, not the law: the authoritative wording is in the regulation, and the map covers the articles a controller or processor operates against, not the whole text.</w:t>
      </w:r>
    </w:p>
    <w:p>
      <w:pPr>
        <w:pStyle w:val="Heading1"/>
      </w:pPr>
      <w:r>
        <w:t>2. Principles and lawfulness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Article</w:t>
            </w:r>
          </w:p>
        </w:tc>
        <w:tc>
          <w:tcPr>
            <w:tcW w:type="dxa" w:w="3249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Obligation in plain words</w:t>
            </w:r>
          </w:p>
        </w:tc>
        <w:tc>
          <w:tcPr>
            <w:tcW w:type="dxa" w:w="3249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Kit documents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Article 5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Process data lawfully, fairly, transparently, for a purpose, minimally, accurately, no longer than needed, securely, and show it.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GDPR-POL-01; PIMS-REG-01; PIMS-REG-07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Article 6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Have a recorded lawful basis for every activity.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PIMS-REG-01; GDPR-TPL-07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Article 7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Make consent freely given, recorded and easy to withdraw.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PIMS-PRO-05; PIMS-REG-04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Article 8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Handle children's data and parental consent where services reach children.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PIMS-PRO-05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Article 9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Process special category data only under a recorded condition.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PIMS-REG-01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Article 10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Process criminal offence data only where law allows.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PIMS-REG-01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Article 11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Do not collect more data just to identify a person.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PIMS-PRO-03</w:t>
            </w:r>
          </w:p>
        </w:tc>
      </w:tr>
    </w:tbl>
    <w:p/>
    <w:p>
      <w:pPr>
        <w:pStyle w:val="Heading1"/>
      </w:pPr>
      <w:r>
        <w:t>3. Rights of the individual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Article</w:t>
            </w:r>
          </w:p>
        </w:tc>
        <w:tc>
          <w:tcPr>
            <w:tcW w:type="dxa" w:w="3249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Obligation in plain words</w:t>
            </w:r>
          </w:p>
        </w:tc>
        <w:tc>
          <w:tcPr>
            <w:tcW w:type="dxa" w:w="3249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Kit documents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Article 12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Handle requests within a month, free, in plain language.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PIMS-PRO-03; PIMS-REG-02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Articles 13 and 14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Tell people how their data is used, at collection and when obtained elsewhere.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GDPR-TPL-01; GDPR-TPL-02; GDPR-TPL-03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Article 15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Give people access to their data and information about its use.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PIMS-PRO-03; GDPR-TPL-05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Article 16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Correct inaccurate data.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PIMS-PRO-03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Article 17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Erase data where a ground applies.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PIMS-PRO-03; PIMS-POL-02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Article 18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Restrict processing while a dispute is resolved.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PIMS-PRO-03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Article 20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Provide data in a portable format.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PIMS-PRO-03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Article 21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Honour objections, including to direct marketing.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PIMS-PRO-03; GDPR-TPL-05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Article 22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Govern solely automated decisions with legal effect.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AI-POL-02; PIMS-PRO-02</w:t>
            </w:r>
          </w:p>
        </w:tc>
      </w:tr>
    </w:tbl>
    <w:p/>
    <w:p>
      <w:pPr>
        <w:pStyle w:val="Heading1"/>
      </w:pPr>
      <w:r>
        <w:t>4. Controller and processor duties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Article</w:t>
            </w:r>
          </w:p>
        </w:tc>
        <w:tc>
          <w:tcPr>
            <w:tcW w:type="dxa" w:w="3249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Obligation in plain words</w:t>
            </w:r>
          </w:p>
        </w:tc>
        <w:tc>
          <w:tcPr>
            <w:tcW w:type="dxa" w:w="3249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Kit documents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Article 24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Implement and review measures that put the principles into practice.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GDPR-POL-01; GOV-POL-01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Article 25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Build privacy in by design and make defaults protective.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PIMS-PRO-06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Article 26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Set out joint controller responsibilities in writing.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PIMS-PRO-01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Article 28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Engage processors under a written contract with the required terms.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PIMS-TPL-02; PIMS-REG-06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Article 30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Keep a record of processing activities.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PIMS-REG-01; GDPR-PRO-01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Article 32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Make security appropriate to the risk, and test it.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GOV-PRO-05; GOV-CHK-02; ISMS-REG-01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Article 33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Notify the authority of notifiable breaches within seventy-two hours.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PIMS-PRO-04; PIMS-REG-03; GDPR-TPL-10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Article 34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Tell affected individuals about high-risk breaches.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PIMS-PRO-04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Article 35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Carry out an impact assessment for high-risk processing.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PIMS-PRO-02; PIMS-TPL-01; PIMS-REG-08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Article 36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Consult the authority where residual risk stays high.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PIMS-PRO-02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Articles 37 to 39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Appoint and resource a data protection officer where required.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GDPR-POL-01</w:t>
            </w:r>
          </w:p>
        </w:tc>
      </w:tr>
    </w:tbl>
    <w:p/>
    <w:p>
      <w:pPr>
        <w:pStyle w:val="Heading1"/>
      </w:pPr>
      <w:r>
        <w:t>5. International transfers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Article</w:t>
            </w:r>
          </w:p>
        </w:tc>
        <w:tc>
          <w:tcPr>
            <w:tcW w:type="dxa" w:w="3249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Obligation in plain words</w:t>
            </w:r>
          </w:p>
        </w:tc>
        <w:tc>
          <w:tcPr>
            <w:tcW w:type="dxa" w:w="3249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Kit documents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Article 44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Transfer outside the region only under a lawful mechanism.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PIMS-POL-03; PIMS-REG-05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Article 45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Identify transfers to adequate countries.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PIMS-REG-05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Article 46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Use appropriate safeguards where there is no adequacy.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PIMS-POL-03; GDPR-TPL-08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Article 49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Rely on a derogation only occasionally and record it.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PIMS-POL-03</w:t>
            </w:r>
          </w:p>
        </w:tc>
      </w:tr>
    </w:tbl>
    <w:p/>
    <w:p>
      <w:pPr>
        <w:pStyle w:val="Heading1"/>
      </w:pPr>
      <w:r>
        <w:t>6. HR and marketing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Area</w:t>
            </w:r>
          </w:p>
        </w:tc>
        <w:tc>
          <w:tcPr>
            <w:tcW w:type="dxa" w:w="3249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Obligation in plain words</w:t>
            </w:r>
          </w:p>
        </w:tc>
        <w:tc>
          <w:tcPr>
            <w:tcW w:type="dxa" w:w="3249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Kit documents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Employment data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Handle recruitment, employment and monitoring data lawfully.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GDPR-PRO-02; GDPR-TPL-02; GDPR-TPL-03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Direct marketing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Offer and honour an easy opt-out.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GDPR-TPL-05; GDPR-REG-04</w:t>
            </w:r>
          </w:p>
        </w:tc>
      </w:tr>
    </w:tbl>
    <w:p/>
    <w:p>
      <w:pPr>
        <w:pStyle w:val="Heading1"/>
      </w:pPr>
      <w:r>
        <w:t>7. Related documents</w:t>
      </w:r>
    </w:p>
    <w:p>
      <w:pPr>
        <w:pStyle w:val="ListBullet"/>
      </w:pPr>
      <w:r>
        <w:rPr>
          <w:b w:val="0"/>
          <w:i w:val="0"/>
        </w:rPr>
        <w:t>GDPR-GDE-01 A GDPR operating model for a product team</w:t>
      </w:r>
    </w:p>
    <w:p>
      <w:pPr>
        <w:pStyle w:val="ListBullet"/>
      </w:pPr>
      <w:r>
        <w:rPr>
          <w:b w:val="0"/>
          <w:i w:val="0"/>
        </w:rPr>
        <w:t>GDPR-REG-01 GDPR gap assessment</w:t>
      </w:r>
    </w:p>
    <w:p>
      <w:pPr>
        <w:pStyle w:val="ListBullet"/>
      </w:pPr>
      <w:r>
        <w:rPr>
          <w:b w:val="0"/>
          <w:i w:val="0"/>
        </w:rPr>
        <w:t>PB-04 GDPR operations in ten steps</w:t>
      </w:r>
    </w:p>
    <w:p/>
    <w:p>
      <w:r>
        <w:rPr>
          <w:i/>
          <w:color w:val="526478"/>
          <w:sz w:val="17"/>
        </w:rPr>
        <w:t>This document is a template from an open documentation kit. Replace every item in square brackets, remove what does not apply, and have the approver sign it before use. A template is not evidence of compliance.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478"/>
        <w:sz w:val="16"/>
      </w:rPr>
      <w:t xml:space="preserve">GDPR-GDE-02  |  Guide: GDPR articles mapped to the kit  |  Version 1.0  |  Internal  |  Page </w:t>
    </w:r>
    <w:r>
      <w:rPr>
        <w:color w:val="526478"/>
        <w:sz w:val="16"/>
      </w:rPr>
      <w:fldChar w:fldCharType="begin"/>
    </w:r>
    <w:r>
      <w:rPr>
        <w:color w:val="526478"/>
        <w:sz w:val="16"/>
      </w:rPr>
      <w:instrText xml:space="preserve">PAGE</w:instrText>
    </w:r>
    <w:r>
      <w:rPr>
        <w:color w:val="526478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B2D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B2D4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0B2D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