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HIPAA-POL-02</w:t>
      </w:r>
    </w:p>
    <w:p>
      <w:r>
        <w:rPr>
          <w:b/>
          <w:color w:val="0B2D4D"/>
          <w:sz w:val="44"/>
        </w:rPr>
        <w:t>HIPAA security policy</w:t>
      </w:r>
    </w:p>
    <w:p>
      <w:r>
        <w:rPr>
          <w:i/>
          <w:color w:val="526478"/>
        </w:rPr>
        <w:t>How [Organisation] protects the confidentiality, integrity and availability of electronic protected health information through administrative, physical and technical safeguards under the HIPAA Security Rule.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HIPAA-POL-02</w:t>
            </w:r>
          </w:p>
        </w:tc>
      </w:tr>
      <w:tr>
        <w:tc>
          <w:tcPr>
            <w:tcW w:type="dxa" w:w="2551"/>
            <w:shd w:val="clear" w:color="auto" w:fill="EEF3F8"/>
          </w:tcPr>
          <w:p>
            <w:pPr>
              <w:spacing w:after="40"/>
            </w:pPr>
            <w:r>
              <w:rPr>
                <w:b/>
                <w:sz w:val="19"/>
              </w:rPr>
              <w:t>Title</w:t>
            </w:r>
          </w:p>
        </w:tc>
        <w:tc>
          <w:tcPr>
            <w:tcW w:type="dxa" w:w="6803"/>
          </w:tcPr>
          <w:p>
            <w:pPr>
              <w:spacing w:after="40"/>
            </w:pPr>
            <w:r>
              <w:rPr>
                <w:sz w:val="19"/>
              </w:rPr>
              <w:t>HIPAA security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164.306; HIPAA 45 CFR 164.308; HIPAA 45 CFR 164.310; HIPAA 45 CFR 164.312; HIPAA 45 CFR 164.316</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commits [Organisation] to protecting electronic protected health information through the administrative, physical and technical safeguards the HIPAA Security Rule requires, and points each safeguard at the procedure or control that implements it.</w:t>
      </w:r>
    </w:p>
    <w:p>
      <w:pPr>
        <w:pStyle w:val="Heading1"/>
      </w:pPr>
      <w:r>
        <w:t>2. Scope</w:t>
      </w:r>
    </w:p>
    <w:p>
      <w:r>
        <w:rPr>
          <w:b w:val="0"/>
          <w:i w:val="0"/>
        </w:rPr>
        <w:t>It applies to all electronic protected health information that [Organisation] creates, receives, maintains or transmits, and to the people, systems and facilities that handle it. The detailed mapping of each standard and implementation specification to a kit document is held in the safeguard matrix (HIPAA-REG-01).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The assigned security official. Owns the Security Rule programme, the risk analysis and this policy.</w:t>
            </w:r>
          </w:p>
        </w:tc>
      </w:tr>
      <w:tr>
        <w:tc>
          <w:tcPr>
            <w:tcW w:type="dxa" w:w="4873"/>
          </w:tcPr>
          <w:p>
            <w:pPr>
              <w:spacing w:after="40"/>
            </w:pPr>
            <w:r>
              <w:rPr>
                <w:b w:val="0"/>
                <w:i w:val="0"/>
                <w:sz w:val="19"/>
              </w:rPr>
              <w:t>Privacy Officer</w:t>
            </w:r>
          </w:p>
        </w:tc>
        <w:tc>
          <w:tcPr>
            <w:tcW w:type="dxa" w:w="4873"/>
          </w:tcPr>
          <w:p>
            <w:pPr>
              <w:spacing w:after="40"/>
            </w:pPr>
            <w:r>
              <w:rPr>
                <w:b w:val="0"/>
                <w:i w:val="0"/>
                <w:sz w:val="19"/>
              </w:rPr>
              <w:t>Coordinates privacy and breach obligations with this policy.</w:t>
            </w:r>
          </w:p>
        </w:tc>
      </w:tr>
      <w:tr>
        <w:tc>
          <w:tcPr>
            <w:tcW w:type="dxa" w:w="4873"/>
          </w:tcPr>
          <w:p>
            <w:pPr>
              <w:spacing w:after="40"/>
            </w:pPr>
            <w:r>
              <w:rPr>
                <w:b w:val="0"/>
                <w:i w:val="0"/>
                <w:sz w:val="19"/>
              </w:rPr>
              <w:t>System and facility owners</w:t>
            </w:r>
          </w:p>
        </w:tc>
        <w:tc>
          <w:tcPr>
            <w:tcW w:type="dxa" w:w="4873"/>
          </w:tcPr>
          <w:p>
            <w:pPr>
              <w:spacing w:after="40"/>
            </w:pPr>
            <w:r>
              <w:rPr>
                <w:b w:val="0"/>
                <w:i w:val="0"/>
                <w:sz w:val="19"/>
              </w:rPr>
              <w:t>Implement the safeguards in the systems and facilities they own.</w:t>
            </w:r>
          </w:p>
        </w:tc>
      </w:tr>
      <w:tr>
        <w:tc>
          <w:tcPr>
            <w:tcW w:type="dxa" w:w="4873"/>
          </w:tcPr>
          <w:p>
            <w:pPr>
              <w:spacing w:after="40"/>
            </w:pPr>
            <w:r>
              <w:rPr>
                <w:b w:val="0"/>
                <w:i w:val="0"/>
                <w:sz w:val="19"/>
              </w:rPr>
              <w:t>Workforce members</w:t>
            </w:r>
          </w:p>
        </w:tc>
        <w:tc>
          <w:tcPr>
            <w:tcW w:type="dxa" w:w="4873"/>
          </w:tcPr>
          <w:p>
            <w:pPr>
              <w:spacing w:after="40"/>
            </w:pPr>
            <w:r>
              <w:rPr>
                <w:b w:val="0"/>
                <w:i w:val="0"/>
                <w:sz w:val="19"/>
              </w:rPr>
              <w:t>Follow the safeguards and report security incidents.</w:t>
            </w:r>
          </w:p>
        </w:tc>
      </w:tr>
    </w:tbl>
    <w:p/>
    <w:p>
      <w:pPr>
        <w:pStyle w:val="Heading1"/>
      </w:pPr>
      <w:r>
        <w:t>4. Policy statements</w:t>
      </w:r>
    </w:p>
    <w:p>
      <w:r>
        <w:rPr>
          <w:b w:val="0"/>
          <w:i w:val="0"/>
        </w:rPr>
        <w:t xml:space="preserve">4.1 </w:t>
      </w:r>
      <w:r>
        <w:rPr>
          <w:b/>
        </w:rPr>
        <w:t>Security management process.</w:t>
      </w:r>
      <w:r>
        <w:rPr>
          <w:b w:val="0"/>
          <w:i w:val="0"/>
        </w:rPr>
        <w:t xml:space="preserve"> [Organisation] runs a security management process built on a security risk analysis (HIPAA-PRO-01), risk management decisions recorded in the risk register (GOV-REG-05), a sanction policy for violations, and regular review of system activity through logs.</w:t>
      </w:r>
    </w:p>
    <w:p>
      <w:r>
        <w:rPr>
          <w:b w:val="0"/>
          <w:i w:val="0"/>
        </w:rPr>
        <w:t xml:space="preserve">4.2 </w:t>
      </w:r>
      <w:r>
        <w:rPr>
          <w:b/>
        </w:rPr>
        <w:t>Assigned security responsibility.</w:t>
      </w:r>
      <w:r>
        <w:rPr>
          <w:b w:val="0"/>
          <w:i w:val="0"/>
        </w:rPr>
        <w:t xml:space="preserve"> A single security official, the Information Security Manager, is responsible for the Security Rule programme.</w:t>
      </w:r>
    </w:p>
    <w:p>
      <w:r>
        <w:rPr>
          <w:b w:val="0"/>
          <w:i w:val="0"/>
        </w:rPr>
        <w:t xml:space="preserve">4.3 </w:t>
      </w:r>
      <w:r>
        <w:rPr>
          <w:b/>
        </w:rPr>
        <w:t>Workforce security and access management.</w:t>
      </w:r>
      <w:r>
        <w:rPr>
          <w:b w:val="0"/>
          <w:i w:val="0"/>
        </w:rPr>
        <w:t xml:space="preserve"> Access to electronic protected health information is authorised, granted on the minimum necessary basis, reviewed, and removed promptly when a role ends, under the access management procedure (GOV-PRO-10) and the joiner and leaver checklist (GOV-CHK-01).</w:t>
      </w:r>
    </w:p>
    <w:p>
      <w:r>
        <w:rPr>
          <w:b w:val="0"/>
          <w:i w:val="0"/>
        </w:rPr>
        <w:t xml:space="preserve">4.4 </w:t>
      </w:r>
      <w:r>
        <w:rPr>
          <w:b/>
        </w:rPr>
        <w:t>Awareness and training.</w:t>
      </w:r>
      <w:r>
        <w:rPr>
          <w:b w:val="0"/>
          <w:i w:val="0"/>
        </w:rPr>
        <w:t xml:space="preserve"> Workforce members receive security awareness and training, including protection from malicious software, log-in monitoring and password management, under the awareness procedure (GOV-PRO-08).</w:t>
      </w:r>
    </w:p>
    <w:p>
      <w:r>
        <w:rPr>
          <w:b w:val="0"/>
          <w:i w:val="0"/>
        </w:rPr>
        <w:t xml:space="preserve">4.5 </w:t>
      </w:r>
      <w:r>
        <w:rPr>
          <w:b/>
        </w:rPr>
        <w:t>Security incident procedures.</w:t>
      </w:r>
      <w:r>
        <w:rPr>
          <w:b w:val="0"/>
          <w:i w:val="0"/>
        </w:rPr>
        <w:t xml:space="preserve"> Security incidents are identified, responded to and documented under the incident management procedure (GOV-PRO-07), and a suspected breach of protected health information is handled under HIPAA-PRO-02.</w:t>
      </w:r>
    </w:p>
    <w:p>
      <w:r>
        <w:rPr>
          <w:b w:val="0"/>
          <w:i w:val="0"/>
        </w:rPr>
        <w:t xml:space="preserve">4.6 </w:t>
      </w:r>
      <w:r>
        <w:rPr>
          <w:b/>
        </w:rPr>
        <w:t>Contingency plan.</w:t>
      </w:r>
      <w:r>
        <w:rPr>
          <w:b w:val="0"/>
          <w:i w:val="0"/>
        </w:rPr>
        <w:t xml:space="preserve"> [Organisation] maintains a data backup plan, a disaster recovery plan and an emergency mode operation plan, tests them, and analyses the criticality of its applications and data, under the backup procedure (GOV-PRO-12) and the continuity procedure (GOV-PRO-13).</w:t>
      </w:r>
    </w:p>
    <w:p>
      <w:r>
        <w:rPr>
          <w:b w:val="0"/>
          <w:i w:val="0"/>
        </w:rPr>
        <w:t xml:space="preserve">4.7 </w:t>
      </w:r>
      <w:r>
        <w:rPr>
          <w:b/>
        </w:rPr>
        <w:t>Evaluation.</w:t>
      </w:r>
      <w:r>
        <w:rPr>
          <w:b w:val="0"/>
          <w:i w:val="0"/>
        </w:rPr>
        <w:t xml:space="preserve"> [Organisation] periodically evaluates how well its safeguards meet the Security Rule, through internal audit (GOV-PRO-02) and the safeguard matrix.</w:t>
      </w:r>
    </w:p>
    <w:p>
      <w:r>
        <w:rPr>
          <w:b w:val="0"/>
          <w:i w:val="0"/>
        </w:rPr>
        <w:t xml:space="preserve">4.8 </w:t>
      </w:r>
      <w:r>
        <w:rPr>
          <w:b/>
        </w:rPr>
        <w:t>Physical safeguards.</w:t>
      </w:r>
      <w:r>
        <w:rPr>
          <w:b w:val="0"/>
          <w:i w:val="0"/>
        </w:rPr>
        <w:t xml:space="preserve"> Facility access, workstation use and security, and the disposal and re-use of devices and media are controlled under the physical security procedure (GOV-PRO-17) and the asset and media procedures (GOV-PRO-16).</w:t>
      </w:r>
    </w:p>
    <w:p>
      <w:r>
        <w:rPr>
          <w:b w:val="0"/>
          <w:i w:val="0"/>
        </w:rPr>
        <w:t xml:space="preserve">4.9 </w:t>
      </w:r>
      <w:r>
        <w:rPr>
          <w:b/>
        </w:rPr>
        <w:t>Technical safeguards.</w:t>
      </w:r>
      <w:r>
        <w:rPr>
          <w:b w:val="0"/>
          <w:i w:val="0"/>
        </w:rPr>
        <w:t xml:space="preserve"> Access control with unique user identification and emergency access, audit controls, integrity protection, authentication and transmission security are implemented under the access, logging, cryptography and network procedures (GOV-PRO-10, GOV-PRO-14, GOV-PRO-20, GOV-PRO-21). Encryption of electronic protected health information at rest and in transit is implemented as the reasonable and appropriate measure, and any decision not to encrypt is documented with an equivalent alternative.</w:t>
      </w:r>
    </w:p>
    <w:p>
      <w:r>
        <w:rPr>
          <w:b w:val="0"/>
          <w:i w:val="0"/>
        </w:rPr>
        <w:t xml:space="preserve">4.10 </w:t>
      </w:r>
      <w:r>
        <w:rPr>
          <w:b/>
        </w:rPr>
        <w:t>Business associates.</w:t>
      </w:r>
      <w:r>
        <w:rPr>
          <w:b w:val="0"/>
          <w:i w:val="0"/>
        </w:rPr>
        <w:t xml:space="preserve"> [Organisation] obtains satisfactory assurances through a business associate agreement (HIPAA-TPL-01) before disclosing electronic protected health information to a business associate.</w:t>
      </w:r>
    </w:p>
    <w:p>
      <w:r>
        <w:rPr>
          <w:b w:val="0"/>
          <w:i w:val="0"/>
        </w:rPr>
        <w:t xml:space="preserve">4.11 </w:t>
      </w:r>
      <w:r>
        <w:rPr>
          <w:b/>
        </w:rPr>
        <w:t>Addressable specifications.</w:t>
      </w:r>
      <w:r>
        <w:rPr>
          <w:b w:val="0"/>
          <w:i w:val="0"/>
        </w:rPr>
        <w:t xml:space="preserve"> For each addressable implementation specification, [Organisation] records in the safeguard matrix whether it is reasonable and appropriate, and implements it or an equivalent alternative, or documents why neither is required.</w:t>
      </w:r>
    </w:p>
    <w:p>
      <w:pPr>
        <w:pStyle w:val="Heading1"/>
      </w:pPr>
      <w:r>
        <w:t>5. Records and evidence</w:t>
      </w:r>
    </w:p>
    <w:p>
      <w:pPr>
        <w:pStyle w:val="ListBullet"/>
      </w:pPr>
      <w:r>
        <w:rPr>
          <w:b w:val="0"/>
          <w:i w:val="0"/>
        </w:rPr>
        <w:t>The security risk analysis and risk management decisions.</w:t>
      </w:r>
    </w:p>
    <w:p>
      <w:pPr>
        <w:pStyle w:val="ListBullet"/>
      </w:pPr>
      <w:r>
        <w:rPr>
          <w:b w:val="0"/>
          <w:i w:val="0"/>
        </w:rPr>
        <w:t>The safeguard matrix (HIPAA-REG-01) with the status and evidence of each standard and specification.</w:t>
      </w:r>
    </w:p>
    <w:p>
      <w:pPr>
        <w:pStyle w:val="ListBullet"/>
      </w:pPr>
      <w:r>
        <w:rPr>
          <w:b w:val="0"/>
          <w:i w:val="0"/>
        </w:rPr>
        <w:t>Access reviews, training records, incident records and contingency test records.</w:t>
      </w:r>
    </w:p>
    <w:p>
      <w:pPr>
        <w:pStyle w:val="ListBullet"/>
      </w:pPr>
      <w:r>
        <w:rPr>
          <w:b w:val="0"/>
          <w:i w:val="0"/>
        </w:rPr>
        <w:t>The business associate register (HIPAA-REG-02).</w:t>
      </w:r>
    </w:p>
    <w:p>
      <w:pPr>
        <w:pStyle w:val="Heading1"/>
      </w:pPr>
      <w:r>
        <w:t>6. Exceptions</w:t>
      </w:r>
    </w:p>
    <w:p>
      <w:r>
        <w:rPr>
          <w:b w:val="0"/>
          <w:i w:val="0"/>
        </w:rPr>
        <w:t>An addressable specification that is not implemented is recorded in the safeguard matrix with the reason and the alternative measure. No required specification may be waived.</w:t>
      </w:r>
    </w:p>
    <w:p>
      <w:pPr>
        <w:pStyle w:val="Heading1"/>
      </w:pPr>
      <w:r>
        <w:t>7. Review and maintenance</w:t>
      </w:r>
    </w:p>
    <w:p>
      <w:r>
        <w:rPr>
          <w:b w:val="0"/>
          <w:i w:val="0"/>
        </w:rPr>
        <w:t>The Information Security Manager reviews this policy annually, after the risk analysis is updated, and after any significant change to the systems, facilities or threats that affect electronic protected health information.</w:t>
      </w:r>
    </w:p>
    <w:p>
      <w:pPr>
        <w:pStyle w:val="Heading1"/>
      </w:pPr>
      <w:r>
        <w:t>8. Related documents</w:t>
      </w:r>
    </w:p>
    <w:p>
      <w:pPr>
        <w:pStyle w:val="ListBullet"/>
      </w:pPr>
      <w:r>
        <w:rPr>
          <w:b w:val="0"/>
          <w:i w:val="0"/>
        </w:rPr>
        <w:t>HIPAA-PRO-01 Security risk analysis procedure</w:t>
      </w:r>
    </w:p>
    <w:p>
      <w:pPr>
        <w:pStyle w:val="ListBullet"/>
      </w:pPr>
      <w:r>
        <w:rPr>
          <w:b w:val="0"/>
          <w:i w:val="0"/>
        </w:rPr>
        <w:t>HIPAA-PRO-02 HIPAA breach notification procedure</w:t>
      </w:r>
    </w:p>
    <w:p>
      <w:pPr>
        <w:pStyle w:val="ListBullet"/>
      </w:pPr>
      <w:r>
        <w:rPr>
          <w:b w:val="0"/>
          <w:i w:val="0"/>
        </w:rPr>
        <w:t>HIPAA-GDE-02 HIPAA Security Rule mapped to the kit</w:t>
      </w:r>
    </w:p>
    <w:p>
      <w:pPr>
        <w:pStyle w:val="ListBullet"/>
      </w:pPr>
      <w:r>
        <w:rPr>
          <w:b w:val="0"/>
          <w:i w:val="0"/>
        </w:rPr>
        <w:t>HIPAA-REG-01 HIPAA Security Rule safeguard matrix</w:t>
      </w:r>
    </w:p>
    <w:p>
      <w:pPr>
        <w:pStyle w:val="ListBullet"/>
      </w:pPr>
      <w:r>
        <w:rPr>
          <w:b w:val="0"/>
          <w:i w:val="0"/>
        </w:rPr>
        <w:t>GOV-PRO-05 Risk assessment and treatment methodology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HIPAA-POL-02  |  HIPAA security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