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61A2"/>
          <w:sz w:val="20"/>
        </w:rPr>
        <w:t>PIMS-GDE-01</w:t>
      </w:r>
    </w:p>
    <w:p>
      <w:r>
        <w:rPr>
          <w:b/>
          <w:color w:val="0B2D4D"/>
          <w:sz w:val="44"/>
        </w:rPr>
        <w:t>Guide: ISO/IEC 27701 Annex A (controller) and Annex B (processor) controls and where the kit covers each</w:t>
      </w:r>
    </w:p>
    <w:p>
      <w:r>
        <w:rPr>
          <w:i/>
          <w:color w:val="526478"/>
        </w:rPr>
        <w:t>A reading aid that lists every control in Annex A and Annex B of ISO/IEC 27701 with a short theme in plain words and the kit documents that implement it, and explains how the clause 5 and clause 6 extensions change an existing ISMS, for use when extending the Statement of Applicability.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PIMS-GDE-01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Title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Guide: ISO/IEC 27701 Annex A (controller) and Annex B (processor) controls and where the kit covers each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Guide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Framework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ISO/IEC 27701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Requirements served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ISO/IEC 27701 Annex A; ISO/IEC 27701 Annex B; ISO/IEC 27701 clause 5.4.1.3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Owner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Privacy Officer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Privacy Officer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1.0 (template)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Review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Annual</w:t>
            </w:r>
          </w:p>
        </w:tc>
      </w:tr>
    </w:tbl>
    <w:p/>
    <w:p>
      <w:r>
        <w:rPr>
          <w:b/>
          <w:color w:val="0B2D4D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Change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Approved by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First issue from the kit template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[Role]</w:t>
            </w:r>
          </w:p>
        </w:tc>
      </w:tr>
    </w:tbl>
    <w:p/>
    <w:p>
      <w:pPr>
        <w:pStyle w:val="Heading1"/>
      </w:pPr>
      <w:r>
        <w:t>1. How to use this guide</w:t>
      </w:r>
    </w:p>
    <w:p>
      <w:r>
        <w:rPr>
          <w:b w:val="0"/>
          <w:i w:val="0"/>
        </w:rPr>
        <w:t>ISO/IEC 27701 does not stand alone. It extends an information security management system built on ISO/IEC 27001 and ISO/IEC 27002 so that it also manages personal data, and it calls the result a privacy information management system. The 2019 edition has four working parts. Clause 5 adds privacy requirements to each ISO/IEC 27001 clause, mostly by saying that wherever the security standard says information security, you read information security and privacy, and by requiring you to decide whether you act as a controller, a processor, or both. Clause 6 adds privacy guidance to the ISO/IEC 27002 controls, for example on training, classification, backups, logs, test data, suppliers and incidents. Clause 7 gives guidance for controllers and clause 8 for processors. Annex A lists the controller controls and Annex B the processor controls; these two annexes are normative, which means your Statement of Applicability must cover them in the same way it covers the ISO/IEC 27001 Annex A controls.</w:t>
      </w:r>
    </w:p>
    <w:p>
      <w:r>
        <w:rPr>
          <w:b w:val="0"/>
          <w:i w:val="0"/>
        </w:rPr>
        <w:t>Which annex applies depends on the role decision under PIMS-PRO-01. A pure controller applies Annex A; a pure processor applies Annex B; an organisation that is both, which is most product companies, applies both, and the justification column of ISMS-REG-01 says for which processing activities each applies.</w:t>
      </w:r>
    </w:p>
    <w:p>
      <w:r>
        <w:rPr>
          <w:b w:val="0"/>
          <w:i w:val="0"/>
        </w:rPr>
        <w:t>The tables below give each control number a theme written in this kit's own words. The themes are a memory aid, not the standard's titles; read the standard itself for the requirement. The third column names the kit documents that implement the control, the first being the primary one. Use the tables in three places:</w:t>
      </w:r>
    </w:p>
    <w:p>
      <w:pPr>
        <w:pStyle w:val="ListNumber"/>
      </w:pPr>
      <w:r>
        <w:rPr>
          <w:b/>
        </w:rPr>
        <w:t>ISMS-REG-01 Statement of Applicability.</w:t>
      </w:r>
      <w:r>
        <w:rPr>
          <w:b w:val="0"/>
          <w:i w:val="0"/>
        </w:rPr>
        <w:t xml:space="preserve"> Add the Annex A and Annex B rows under the ISO/IEC 27001 rows, decide Applicable Yes or No for each, justify, set the implementation status, and copy the kit IDs you actually use.</w:t>
      </w:r>
    </w:p>
    <w:p>
      <w:pPr>
        <w:pStyle w:val="ListNumber"/>
      </w:pPr>
      <w:r>
        <w:rPr>
          <w:b/>
        </w:rPr>
        <w:t>ISMS-REG-02 Control implementation tracker.</w:t>
      </w:r>
      <w:r>
        <w:rPr>
          <w:b w:val="0"/>
          <w:i w:val="0"/>
        </w:rPr>
        <w:t xml:space="preserve"> Add the same rows with owner, evidence, test method and the effectiveness grade from PIMS-PRO-07.</w:t>
      </w:r>
    </w:p>
    <w:p>
      <w:pPr>
        <w:pStyle w:val="ListNumber"/>
      </w:pPr>
      <w:r>
        <w:rPr>
          <w:b/>
        </w:rPr>
        <w:t>Gap analysis in step 5 of PB-05.</w:t>
      </w:r>
      <w:r>
        <w:rPr>
          <w:b w:val="0"/>
          <w:i w:val="0"/>
        </w:rPr>
        <w:t xml:space="preserve"> Walk the tables with the Processing Owners and mark what exists, what exists informally and what does not exist.</w:t>
      </w:r>
    </w:p>
    <w:p>
      <w:pPr>
        <w:pStyle w:val="Heading1"/>
      </w:pPr>
      <w:r>
        <w:t>2. Annex A: controls for controllers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Control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Theme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Kit documents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A.7.2.1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Purpose identified and recorded before processing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PIMS-REG-01, GDPR-PRO-01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A.7.2.2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Lawful basis determined and recorded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PIMS-REG-01, PIMS-PRO-05, GDPR-TPL-07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A.7.2.3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Deciding when and how consent is needed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A.7.2.4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Obtaining and recording consent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PIMS-PRO-05, PIMS-REG-04, GDPR-TPL-06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A.7.2.5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Privacy impact assessment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PIMS-PRO-02, PIMS-TPL-01, PIMS-REG-08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A.7.2.6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Written contracts with processors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PIMS-TPL-02, GOV-PRO-06, PIMS-REG-06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A.7.2.7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Joint controller arrangements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A.7.2.8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Records of processing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PIMS-REG-01, GDPR-PRO-01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A.7.3.1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Working out the duties owed to individuals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PIMS-PRO-03, GOV-REG-04, GOV-PRO-25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A.7.3.2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Deciding what individuals must be told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PIMS-PRO-05, GDPR-TPL-01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A.7.3.3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Giving individuals the information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PIMS-PRO-05, GDPR-TPL-01, GDPR-TPL-02, GDPR-TPL-03, GDPR-TPL-04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A.7.3.4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Changing or withdrawing consent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PIMS-PRO-05, PIMS-REG-04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A.7.3.5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Objecting to processing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PIMS-PRO-03, GDPR-TPL-07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A.7.3.6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Access, correction and erasure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PIMS-PRO-03, PIMS-REG-02, GDPR-TPL-05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A.7.3.7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Telling third parties about corrections and erasures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PIMS-PRO-03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A.7.3.8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Providing a copy of the data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PIMS-PRO-03, GDPR-TPL-05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A.7.3.9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Handling requests within set times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PIMS-PRO-03, PIMS-REG-02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A.7.3.10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Decisions made by automated means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PIMS-PRO-03, PIMS-PRO-02, AI-POL-02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A.7.4.1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Collecting only what is needed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PIMS-PRO-06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A.7.4.2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Processing only what the purpose needs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PIMS-PRO-06, PIMS-POL-01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A.7.4.3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Accuracy and quality of data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PIMS-PRO-06, PIMS-PRO-03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A.7.4.4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Minimisation objectives set and measured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PIMS-PRO-06, PIMS-PRO-07, ISMS-PLN-01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A.7.4.5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De-identification or deletion when the purpose ends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PIMS-POL-02, PIMS-PRO-06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A.7.4.6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Temporary files removed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PIMS-PRO-06, PIMS-POL-02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A.7.4.7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Retention limited and justified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PIMS-POL-02, PIMS-REG-07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A.7.4.8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Secure disposal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PIMS-POL-02, GOV-PRO-16, GOV-REG-20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A.7.4.9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Controls on transmission of data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GOV-PRO-23, GOV-PRO-20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A.7.5.1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Basis for transfers between countries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PIMS-POL-03, PIMS-REG-05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A.7.5.2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Permitted destination countries recorded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PIMS-POL-03, PIMS-REG-05, GDPR-TPL-08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A.7.5.3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Records of transfers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PIMS-REG-05, GDPR-REG-02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A.7.5.4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Records of disclosures to third parties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PIMS-REG-01, PIMS-PRO-03, GOV-PRO-25</w:t>
            </w:r>
          </w:p>
        </w:tc>
      </w:tr>
    </w:tbl>
    <w:p/>
    <w:p>
      <w:pPr>
        <w:pStyle w:val="Heading1"/>
      </w:pPr>
      <w:r>
        <w:t>3. Annex B: controls for processors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Control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Theme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Kit documents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B.8.2.1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Written agreement with the customer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PIMS-TPL-02, GOV-PRO-06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B.8.2.2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No processing for the processor's own purposes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PIMS-TPL-02, PIMS-PRO-01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B.8.2.3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No use for marketing or advertising without consent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PIMS-TPL-02, PIMS-PRO-05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B.8.2.4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Flagging instructions that would break the law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PIMS-TPL-02, PIMS-PRO-01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B.8.2.5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Helping the customer meet its own obligations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PIMS-TPL-02, PIMS-PRO-03, PIMS-PRO-04, PIMS-PRO-02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B.8.2.6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Processor's own records of processing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PIMS-REG-01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B.8.3.1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Supporting the customer's duties to individuals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PIMS-PRO-03, PIMS-TPL-02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B.8.4.1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Temporary files removed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PIMS-PRO-06, PIMS-POL-02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B.8.4.2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Return, transfer or disposal at the end of service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PIMS-TPL-02, PIMS-POL-02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B.8.4.3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Controls on transmission of data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GOV-PRO-23, GOV-PRO-20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B.8.5.1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Basis for transfers between countries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PIMS-POL-03, PIMS-REG-05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B.8.5.2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Permitted destination countries recorded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PIMS-POL-03, PIMS-REG-05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B.8.5.3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Records of disclosures to third parties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PIMS-REG-05, PIMS-REG-01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B.8.5.4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Telling the customer about disclosure requests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PIMS-POL-03, GOV-PRO-25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B.8.5.5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Legally binding disclosures handled lawfully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PIMS-POL-03, GOV-PRO-25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B.8.5.6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Sub-processors disclosed to the customer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PIMS-REG-06, PIMS-TPL-02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B.8.5.7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Engaging a sub-processor only with authorisation and terms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GOV-PRO-06, PIMS-REG-06, PIMS-TPL-02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B.8.5.8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Notifying changes of sub-processor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PIMS-REG-06, ISMS-PLN-02, PIMS-TPL-02</w:t>
            </w:r>
          </w:p>
        </w:tc>
      </w:tr>
    </w:tbl>
    <w:p/>
    <w:p>
      <w:pPr>
        <w:pStyle w:val="Heading1"/>
      </w:pPr>
      <w:r>
        <w:t>4. What clause 5 and clause 6 change in an existing ISMS</w:t>
      </w:r>
    </w:p>
    <w:p>
      <w:r>
        <w:rPr>
          <w:b w:val="0"/>
          <w:i w:val="0"/>
        </w:rPr>
        <w:t>The annexes are the visible part. An auditor spends as much time on the clause 5 extensions, because they change documents the ISMS already has. The table lists the extensions most organisations have to act on and the kit document that carries the change.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Clause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What changes, in plain words</w:t>
            </w:r>
          </w:p>
        </w:tc>
        <w:tc>
          <w:tcPr>
            <w:tcW w:type="dxa" w:w="3249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Kit documents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5.2.1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organisation decides and records whether it is a controller, a processor or both, and considers privacy law and contracts as part of its context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PIMS-PRO-01, ISMS-PRO-01, GOV-REG-04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5.2.2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Individuals whose data is processed, and privacy regulators, become interested parties with requirements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ISMS-REG-03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5.2.3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scope statement says which processing of personal data is covered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ISMS-STM-01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5.3.2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security policy, or a policy beside it, commits to the protection of personal data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PIMS-POL-01, GOV-POL-03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5.3.3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 role is accountable for privacy, with the independence and resources it needs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GOV-POL-01, PIMS-POL-01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5.4.1.2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Risk assessment considers the harm to individuals, not only to the organisation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GOV-PRO-05, PIMS-PRO-02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5.4.1.3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Statement of Applicability covers Annex A and Annex B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ISMS-REG-01, this guide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5.4.2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Objectives include privacy objectives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ISMS-PLN-01, GOV-REG-21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5.5.3 and 5.5.4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Competence and awareness cover privacy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ISMS-PRO-02, GOV-PRO-08, GDPR-REG-05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5.7.1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Performance evaluation measures privacy controls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PIMS-PRO-07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5.7.2 and 5.7.3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Internal audit and management review cover the privacy extension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ISMS-PLN-03, GOV-PRO-02, GOV-PRO-03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6.4.2.2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Training covers the consequences of breaching privacy obligations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GOV-PRO-08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6.5.2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Classification identifies personal data as a category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GOV-PRO-16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6.9.3.1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Backups respect retention and can be restored without reviving deleted data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GOV-PRO-12, PIMS-POL-02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6.9.4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Logs record access to personal data and are themselves protected and retention-limited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GOV-PRO-14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6.11.3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Test data contains no live personal data without controls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GOV-PRO-15, PIMS-PRO-06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6.12.1.2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Supplier agreements cover personal data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GOV-PRO-06, PIMS-TPL-02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6.13.1.5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Incident response includes breach assessment and notification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PIMS-PRO-04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6.15.1.1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Applicable privacy law is identified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GOV-PRO-25, GOV-REG-04</w:t>
            </w:r>
          </w:p>
        </w:tc>
      </w:tr>
    </w:tbl>
    <w:p/>
    <w:p>
      <w:pPr>
        <w:pStyle w:val="Heading1"/>
      </w:pPr>
      <w:r>
        <w:t>5. Editions and numbering</w:t>
      </w:r>
    </w:p>
    <w:p>
      <w:r>
        <w:rPr>
          <w:b w:val="0"/>
          <w:i w:val="0"/>
        </w:rPr>
        <w:t>This guide uses the numbering of the 2019 edition of ISO/IEC 27701, in which the standard is an extension to ISO/IEC 27001:2013 and ISO/IEC 27002:2013 and the controller and processor controls sit in Annex A and Annex B as listed above. A later edition restructures the standard so that it can be certified on its own and renumbers its clauses and annexes; the themes above survive the restructuring, the numbers do not. Before building your Statement of Applicability, confirm with your certification body which edition it audits against, add a column to ISMS-REG-01 for that edition's numbering, and map each theme row once. The kit document IDs do not change; only the control reference in the first column does. Keep the mapping with GOV-REG-01 as an external document reference so that the next auditor can follow it.</w:t>
      </w:r>
    </w:p>
    <w:p>
      <w:pPr>
        <w:pStyle w:val="Heading1"/>
      </w:pPr>
      <w:r>
        <w:t>6. Related documents</w:t>
      </w:r>
    </w:p>
    <w:p>
      <w:pPr>
        <w:pStyle w:val="ListBullet"/>
      </w:pPr>
      <w:r>
        <w:rPr>
          <w:b w:val="0"/>
          <w:i w:val="0"/>
        </w:rPr>
        <w:t>ISMS-REG-01 Statement of Applicability</w:t>
      </w:r>
    </w:p>
    <w:p>
      <w:pPr>
        <w:pStyle w:val="ListBullet"/>
      </w:pPr>
      <w:r>
        <w:rPr>
          <w:b w:val="0"/>
          <w:i w:val="0"/>
        </w:rPr>
        <w:t>ISMS-REG-02 Control implementation tracker</w:t>
      </w:r>
    </w:p>
    <w:p>
      <w:pPr>
        <w:pStyle w:val="ListBullet"/>
      </w:pPr>
      <w:r>
        <w:rPr>
          <w:b w:val="0"/>
          <w:i w:val="0"/>
        </w:rPr>
        <w:t>ISMS-GDE-01 Guide: the 93 Annex A controls and where the kit covers each</w:t>
      </w:r>
    </w:p>
    <w:p>
      <w:pPr>
        <w:pStyle w:val="ListBullet"/>
      </w:pPr>
      <w:r>
        <w:rPr>
          <w:b w:val="0"/>
          <w:i w:val="0"/>
        </w:rPr>
        <w:t>PIMS-POL-01 Privacy information management policy</w:t>
      </w:r>
    </w:p>
    <w:p>
      <w:pPr>
        <w:pStyle w:val="ListBullet"/>
      </w:pPr>
      <w:r>
        <w:rPr>
          <w:b w:val="0"/>
          <w:i w:val="0"/>
        </w:rPr>
        <w:t>PIMS-PRO-01 Determining controller and processor roles</w:t>
      </w:r>
    </w:p>
    <w:p>
      <w:pPr>
        <w:pStyle w:val="ListBullet"/>
      </w:pPr>
      <w:r>
        <w:rPr>
          <w:b w:val="0"/>
          <w:i w:val="0"/>
        </w:rPr>
        <w:t>PIMS-PRO-07 Privacy control effectiveness monitoring procedure</w:t>
      </w:r>
    </w:p>
    <w:p>
      <w:pPr>
        <w:pStyle w:val="ListBullet"/>
      </w:pPr>
      <w:r>
        <w:rPr>
          <w:b w:val="0"/>
          <w:i w:val="0"/>
        </w:rPr>
        <w:t>PB-05 Playbook: adding ISO/IEC 27701 privacy management to an existing ISMS</w:t>
      </w:r>
    </w:p>
    <w:p/>
    <w:p>
      <w:r>
        <w:rPr>
          <w:i/>
          <w:color w:val="526478"/>
          <w:sz w:val="17"/>
        </w:rPr>
        <w:t>This document is a template from an open documentation kit. Replace every item in square brackets, remove what does not apply, and have the approver sign it before use. A template is not evidence of compliance.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478"/>
        <w:sz w:val="16"/>
      </w:rPr>
      <w:t xml:space="preserve">PIMS-GDE-01  |  Guide: ISO/IEC 27701 Annex A (controller) and Annex B (processor) controls and where the kit covers each  |  Version 1.0  |  Internal  |  Page </w:t>
    </w:r>
    <w:r>
      <w:rPr>
        <w:color w:val="526478"/>
        <w:sz w:val="16"/>
      </w:rPr>
      <w:fldChar w:fldCharType="begin"/>
    </w:r>
    <w:r>
      <w:rPr>
        <w:color w:val="526478"/>
        <w:sz w:val="16"/>
      </w:rPr>
      <w:instrText xml:space="preserve">PAGE</w:instrText>
    </w:r>
    <w:r>
      <w:rPr>
        <w:color w:val="52647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