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SOC-GDE-03</w:t>
      </w:r>
    </w:p>
    <w:p>
      <w:r>
        <w:rPr>
          <w:b/>
          <w:color w:val="0B2D4D"/>
          <w:sz w:val="44"/>
        </w:rPr>
        <w:t>Guide: Trust Services Criteria mapped to kit documents</w:t>
      </w:r>
    </w:p>
    <w:p>
      <w:r>
        <w:rPr>
          <w:i/>
          <w:color w:val="526478"/>
        </w:rPr>
        <w:t>Every Trust Services Criterion with its theme in plain words and the kit policies, procedures, templates and registers that implement and evidence it, so that a control matrix, a gap assessment or an auditor's question can be answered from one table.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SOC-GDE-03</w:t>
            </w:r>
          </w:p>
        </w:tc>
      </w:tr>
      <w:tr>
        <w:tc>
          <w:tcPr>
            <w:tcW w:type="dxa" w:w="2551"/>
            <w:shd w:val="clear" w:color="auto" w:fill="EEF3F8"/>
          </w:tcPr>
          <w:p>
            <w:pPr>
              <w:spacing w:after="40"/>
            </w:pPr>
            <w:r>
              <w:rPr>
                <w:b/>
                <w:sz w:val="19"/>
              </w:rPr>
              <w:t>Title</w:t>
            </w:r>
          </w:p>
        </w:tc>
        <w:tc>
          <w:tcPr>
            <w:tcW w:type="dxa" w:w="6803"/>
          </w:tcPr>
          <w:p>
            <w:pPr>
              <w:spacing w:after="40"/>
            </w:pPr>
            <w:r>
              <w:rPr>
                <w:sz w:val="19"/>
              </w:rPr>
              <w:t>Guide: Trust Services Criteria mapped to kit documents</w:t>
            </w:r>
          </w:p>
        </w:tc>
      </w:tr>
      <w:tr>
        <w:tc>
          <w:tcPr>
            <w:tcW w:type="dxa" w:w="2551"/>
            <w:shd w:val="clear" w:color="auto" w:fill="EEF3F8"/>
          </w:tcPr>
          <w:p>
            <w:pPr>
              <w:spacing w:after="40"/>
            </w:pPr>
            <w:r>
              <w:rPr>
                <w:b/>
                <w:sz w:val="19"/>
              </w:rPr>
              <w:t>Type</w:t>
            </w:r>
          </w:p>
        </w:tc>
        <w:tc>
          <w:tcPr>
            <w:tcW w:type="dxa" w:w="6803"/>
          </w:tcPr>
          <w:p>
            <w:pPr>
              <w:spacing w:after="40"/>
            </w:pPr>
            <w:r>
              <w:rPr>
                <w:sz w:val="19"/>
              </w:rPr>
              <w:t>Guide</w:t>
            </w:r>
          </w:p>
        </w:tc>
      </w:tr>
      <w:tr>
        <w:tc>
          <w:tcPr>
            <w:tcW w:type="dxa" w:w="2551"/>
            <w:shd w:val="clear" w:color="auto" w:fill="EEF3F8"/>
          </w:tcPr>
          <w:p>
            <w:pPr>
              <w:spacing w:after="40"/>
            </w:pPr>
            <w:r>
              <w:rPr>
                <w:b/>
                <w:sz w:val="19"/>
              </w:rPr>
              <w:t>Framework</w:t>
            </w:r>
          </w:p>
        </w:tc>
        <w:tc>
          <w:tcPr>
            <w:tcW w:type="dxa" w:w="6803"/>
          </w:tcPr>
          <w:p>
            <w:pPr>
              <w:spacing w:after="40"/>
            </w:pPr>
            <w:r>
              <w:rPr>
                <w:sz w:val="19"/>
              </w:rPr>
              <w:t>SOC 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SOC 2 CC1.1; SOC 2 CC6.1; SOC 2 CC7.1; SOC 2 CC8.1; SOC 2 A1.1; SOC 2 C1.1; SOC 2 PI1.1; SOC 2 P1.1</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read this map</w:t>
      </w:r>
    </w:p>
    <w:p>
      <w:r>
        <w:rPr>
          <w:b w:val="0"/>
          <w:i w:val="0"/>
        </w:rPr>
        <w:t>Each table lists the criteria of one category. The theme column is a reminder in plain words of what the criterion is about; it is not the criterion's text, which belongs to its publisher and should be read in the original when writing controls. The documents column names the kit policies, procedures, guides and templates that implement the theme. The registers column names the registers and records that evidence it. Where this kit has no dedicated document, the entry says which general document carries the theme.</w:t>
      </w:r>
    </w:p>
    <w:p>
      <w:r>
        <w:rPr>
          <w:b w:val="0"/>
          <w:i w:val="0"/>
        </w:rPr>
        <w:t>Use the map in three places: when filling the Kit documents column of SOC-REG-01, when answering a request from SOC-GDE-02, and when running the gap assessment in PB-03. The kit does not replace the criteria; an organisation writing controls reads the criteria and their points of focus for itself.</w:t>
      </w:r>
    </w:p>
    <w:p>
      <w:pPr>
        <w:pStyle w:val="Heading1"/>
      </w:pPr>
      <w:r>
        <w:t>2. CC1: control environment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CC1.1</w:t>
            </w:r>
          </w:p>
        </w:tc>
        <w:tc>
          <w:tcPr>
            <w:tcW w:type="dxa" w:w="2436"/>
          </w:tcPr>
          <w:p>
            <w:pPr>
              <w:spacing w:after="40"/>
            </w:pPr>
            <w:r>
              <w:rPr>
                <w:b w:val="0"/>
                <w:i w:val="0"/>
                <w:sz w:val="19"/>
              </w:rPr>
              <w:t>Leadership sets and lives by standards of integrity and ethical conduct, and staff are held to them.</w:t>
            </w:r>
          </w:p>
        </w:tc>
        <w:tc>
          <w:tcPr>
            <w:tcW w:type="dxa" w:w="2436"/>
          </w:tcPr>
          <w:p>
            <w:pPr>
              <w:spacing w:after="40"/>
            </w:pPr>
            <w:r>
              <w:rPr>
                <w:b w:val="0"/>
                <w:i w:val="0"/>
                <w:sz w:val="19"/>
              </w:rPr>
              <w:t>GOV-POL-03, GOV-STM-01, GOV-POL-02, GOV-PRO-18</w:t>
            </w:r>
          </w:p>
        </w:tc>
        <w:tc>
          <w:tcPr>
            <w:tcW w:type="dxa" w:w="2436"/>
          </w:tcPr>
          <w:p>
            <w:pPr>
              <w:spacing w:after="40"/>
            </w:pPr>
            <w:r>
              <w:rPr>
                <w:b w:val="0"/>
                <w:i w:val="0"/>
                <w:sz w:val="19"/>
              </w:rPr>
              <w:t>GOV-REG-23</w:t>
            </w:r>
          </w:p>
        </w:tc>
      </w:tr>
      <w:tr>
        <w:tc>
          <w:tcPr>
            <w:tcW w:type="dxa" w:w="2436"/>
          </w:tcPr>
          <w:p>
            <w:pPr>
              <w:spacing w:after="40"/>
            </w:pPr>
            <w:r>
              <w:rPr>
                <w:b w:val="0"/>
                <w:i w:val="0"/>
                <w:sz w:val="19"/>
              </w:rPr>
              <w:t>CC1.2</w:t>
            </w:r>
          </w:p>
        </w:tc>
        <w:tc>
          <w:tcPr>
            <w:tcW w:type="dxa" w:w="2436"/>
          </w:tcPr>
          <w:p>
            <w:pPr>
              <w:spacing w:after="40"/>
            </w:pPr>
            <w:r>
              <w:rPr>
                <w:b w:val="0"/>
                <w:i w:val="0"/>
                <w:sz w:val="19"/>
              </w:rPr>
              <w:t>A body independent of day to day management oversees how internal control is developed and performs.</w:t>
            </w:r>
          </w:p>
        </w:tc>
        <w:tc>
          <w:tcPr>
            <w:tcW w:type="dxa" w:w="2436"/>
          </w:tcPr>
          <w:p>
            <w:pPr>
              <w:spacing w:after="40"/>
            </w:pPr>
            <w:r>
              <w:rPr>
                <w:b w:val="0"/>
                <w:i w:val="0"/>
                <w:sz w:val="19"/>
              </w:rPr>
              <w:t>GOV-POL-01, GOV-PRO-03</w:t>
            </w:r>
          </w:p>
        </w:tc>
        <w:tc>
          <w:tcPr>
            <w:tcW w:type="dxa" w:w="2436"/>
          </w:tcPr>
          <w:p>
            <w:pPr>
              <w:spacing w:after="40"/>
            </w:pPr>
            <w:r>
              <w:rPr>
                <w:b w:val="0"/>
                <w:i w:val="0"/>
                <w:sz w:val="19"/>
              </w:rPr>
              <w:t>GOV-TPL-03, GOV-REG-22</w:t>
            </w:r>
          </w:p>
        </w:tc>
      </w:tr>
      <w:tr>
        <w:tc>
          <w:tcPr>
            <w:tcW w:type="dxa" w:w="2436"/>
          </w:tcPr>
          <w:p>
            <w:pPr>
              <w:spacing w:after="40"/>
            </w:pPr>
            <w:r>
              <w:rPr>
                <w:b w:val="0"/>
                <w:i w:val="0"/>
                <w:sz w:val="19"/>
              </w:rPr>
              <w:t>CC1.3</w:t>
            </w:r>
          </w:p>
        </w:tc>
        <w:tc>
          <w:tcPr>
            <w:tcW w:type="dxa" w:w="2436"/>
          </w:tcPr>
          <w:p>
            <w:pPr>
              <w:spacing w:after="40"/>
            </w:pPr>
            <w:r>
              <w:rPr>
                <w:b w:val="0"/>
                <w:i w:val="0"/>
                <w:sz w:val="19"/>
              </w:rPr>
              <w:t>Management defines the structures, reporting lines, authorities and responsibilities that let objectives be met.</w:t>
            </w:r>
          </w:p>
        </w:tc>
        <w:tc>
          <w:tcPr>
            <w:tcW w:type="dxa" w:w="2436"/>
          </w:tcPr>
          <w:p>
            <w:pPr>
              <w:spacing w:after="40"/>
            </w:pPr>
            <w:r>
              <w:rPr>
                <w:b w:val="0"/>
                <w:i w:val="0"/>
                <w:sz w:val="19"/>
              </w:rPr>
              <w:t>GOV-POL-01</w:t>
            </w:r>
          </w:p>
        </w:tc>
        <w:tc>
          <w:tcPr>
            <w:tcW w:type="dxa" w:w="2436"/>
          </w:tcPr>
          <w:p>
            <w:pPr>
              <w:spacing w:after="40"/>
            </w:pPr>
            <w:r>
              <w:rPr>
                <w:b w:val="0"/>
                <w:i w:val="0"/>
                <w:sz w:val="19"/>
              </w:rPr>
              <w:t>GOV-REG-01</w:t>
            </w:r>
          </w:p>
        </w:tc>
      </w:tr>
      <w:tr>
        <w:tc>
          <w:tcPr>
            <w:tcW w:type="dxa" w:w="2436"/>
          </w:tcPr>
          <w:p>
            <w:pPr>
              <w:spacing w:after="40"/>
            </w:pPr>
            <w:r>
              <w:rPr>
                <w:b w:val="0"/>
                <w:i w:val="0"/>
                <w:sz w:val="19"/>
              </w:rPr>
              <w:t>CC1.4</w:t>
            </w:r>
          </w:p>
        </w:tc>
        <w:tc>
          <w:tcPr>
            <w:tcW w:type="dxa" w:w="2436"/>
          </w:tcPr>
          <w:p>
            <w:pPr>
              <w:spacing w:after="40"/>
            </w:pPr>
            <w:r>
              <w:rPr>
                <w:b w:val="0"/>
                <w:i w:val="0"/>
                <w:sz w:val="19"/>
              </w:rPr>
              <w:t>The organisation attracts, develops and keeps people competent for their roles.</w:t>
            </w:r>
          </w:p>
        </w:tc>
        <w:tc>
          <w:tcPr>
            <w:tcW w:type="dxa" w:w="2436"/>
          </w:tcPr>
          <w:p>
            <w:pPr>
              <w:spacing w:after="40"/>
            </w:pPr>
            <w:r>
              <w:rPr>
                <w:b w:val="0"/>
                <w:i w:val="0"/>
                <w:sz w:val="19"/>
              </w:rPr>
              <w:t>GOV-PRO-08, GOV-PRO-18, ISMS-PRO-02</w:t>
            </w:r>
          </w:p>
        </w:tc>
        <w:tc>
          <w:tcPr>
            <w:tcW w:type="dxa" w:w="2436"/>
          </w:tcPr>
          <w:p>
            <w:pPr>
              <w:spacing w:after="40"/>
            </w:pPr>
            <w:r>
              <w:rPr>
                <w:b w:val="0"/>
                <w:i w:val="0"/>
                <w:sz w:val="19"/>
              </w:rPr>
              <w:t>GOV-REG-09, GOV-TPL-10</w:t>
            </w:r>
          </w:p>
        </w:tc>
      </w:tr>
      <w:tr>
        <w:tc>
          <w:tcPr>
            <w:tcW w:type="dxa" w:w="2436"/>
          </w:tcPr>
          <w:p>
            <w:pPr>
              <w:spacing w:after="40"/>
            </w:pPr>
            <w:r>
              <w:rPr>
                <w:b w:val="0"/>
                <w:i w:val="0"/>
                <w:sz w:val="19"/>
              </w:rPr>
              <w:t>CC1.5</w:t>
            </w:r>
          </w:p>
        </w:tc>
        <w:tc>
          <w:tcPr>
            <w:tcW w:type="dxa" w:w="2436"/>
          </w:tcPr>
          <w:p>
            <w:pPr>
              <w:spacing w:after="40"/>
            </w:pPr>
            <w:r>
              <w:rPr>
                <w:b w:val="0"/>
                <w:i w:val="0"/>
                <w:sz w:val="19"/>
              </w:rPr>
              <w:t>Individuals are accountable for their internal control duties, with incentives and consequences.</w:t>
            </w:r>
          </w:p>
        </w:tc>
        <w:tc>
          <w:tcPr>
            <w:tcW w:type="dxa" w:w="2436"/>
          </w:tcPr>
          <w:p>
            <w:pPr>
              <w:spacing w:after="40"/>
            </w:pPr>
            <w:r>
              <w:rPr>
                <w:b w:val="0"/>
                <w:i w:val="0"/>
                <w:sz w:val="19"/>
              </w:rPr>
              <w:t>GOV-POL-01, GOV-PRO-18</w:t>
            </w:r>
          </w:p>
        </w:tc>
        <w:tc>
          <w:tcPr>
            <w:tcW w:type="dxa" w:w="2436"/>
          </w:tcPr>
          <w:p>
            <w:pPr>
              <w:spacing w:after="40"/>
            </w:pPr>
            <w:r>
              <w:rPr>
                <w:b w:val="0"/>
                <w:i w:val="0"/>
                <w:sz w:val="19"/>
              </w:rPr>
              <w:t>GOV-REG-21, GOV-REG-23</w:t>
            </w:r>
          </w:p>
        </w:tc>
      </w:tr>
    </w:tbl>
    <w:p/>
    <w:p>
      <w:pPr>
        <w:pStyle w:val="Heading1"/>
      </w:pPr>
      <w:r>
        <w:t>3. CC2: communication and information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CC2.1</w:t>
            </w:r>
          </w:p>
        </w:tc>
        <w:tc>
          <w:tcPr>
            <w:tcW w:type="dxa" w:w="2436"/>
          </w:tcPr>
          <w:p>
            <w:pPr>
              <w:spacing w:after="40"/>
            </w:pPr>
            <w:r>
              <w:rPr>
                <w:b w:val="0"/>
                <w:i w:val="0"/>
                <w:sz w:val="19"/>
              </w:rPr>
              <w:t>The organisation obtains or produces relevant, good quality information to run its controls.</w:t>
            </w:r>
          </w:p>
        </w:tc>
        <w:tc>
          <w:tcPr>
            <w:tcW w:type="dxa" w:w="2436"/>
          </w:tcPr>
          <w:p>
            <w:pPr>
              <w:spacing w:after="40"/>
            </w:pPr>
            <w:r>
              <w:rPr>
                <w:b w:val="0"/>
                <w:i w:val="0"/>
                <w:sz w:val="19"/>
              </w:rPr>
              <w:t>ISMS-PRO-04, GOV-PRO-14</w:t>
            </w:r>
          </w:p>
        </w:tc>
        <w:tc>
          <w:tcPr>
            <w:tcW w:type="dxa" w:w="2436"/>
          </w:tcPr>
          <w:p>
            <w:pPr>
              <w:spacing w:after="40"/>
            </w:pPr>
            <w:r>
              <w:rPr>
                <w:b w:val="0"/>
                <w:i w:val="0"/>
                <w:sz w:val="19"/>
              </w:rPr>
              <w:t>GOV-REG-21, GOV-REG-05</w:t>
            </w:r>
          </w:p>
        </w:tc>
      </w:tr>
      <w:tr>
        <w:tc>
          <w:tcPr>
            <w:tcW w:type="dxa" w:w="2436"/>
          </w:tcPr>
          <w:p>
            <w:pPr>
              <w:spacing w:after="40"/>
            </w:pPr>
            <w:r>
              <w:rPr>
                <w:b w:val="0"/>
                <w:i w:val="0"/>
                <w:sz w:val="19"/>
              </w:rPr>
              <w:t>CC2.2</w:t>
            </w:r>
          </w:p>
        </w:tc>
        <w:tc>
          <w:tcPr>
            <w:tcW w:type="dxa" w:w="2436"/>
          </w:tcPr>
          <w:p>
            <w:pPr>
              <w:spacing w:after="40"/>
            </w:pPr>
            <w:r>
              <w:rPr>
                <w:b w:val="0"/>
                <w:i w:val="0"/>
                <w:sz w:val="19"/>
              </w:rPr>
              <w:t>Control objectives and responsibilities are communicated internally so that people can do their part.</w:t>
            </w:r>
          </w:p>
        </w:tc>
        <w:tc>
          <w:tcPr>
            <w:tcW w:type="dxa" w:w="2436"/>
          </w:tcPr>
          <w:p>
            <w:pPr>
              <w:spacing w:after="40"/>
            </w:pPr>
            <w:r>
              <w:rPr>
                <w:b w:val="0"/>
                <w:i w:val="0"/>
                <w:sz w:val="19"/>
              </w:rPr>
              <w:t>ISMS-PLN-02, GOV-PRO-01, GOV-PRO-08</w:t>
            </w:r>
          </w:p>
        </w:tc>
        <w:tc>
          <w:tcPr>
            <w:tcW w:type="dxa" w:w="2436"/>
          </w:tcPr>
          <w:p>
            <w:pPr>
              <w:spacing w:after="40"/>
            </w:pPr>
            <w:r>
              <w:rPr>
                <w:b w:val="0"/>
                <w:i w:val="0"/>
                <w:sz w:val="19"/>
              </w:rPr>
              <w:t>GOV-REG-23, GOV-REG-01</w:t>
            </w:r>
          </w:p>
        </w:tc>
      </w:tr>
      <w:tr>
        <w:tc>
          <w:tcPr>
            <w:tcW w:type="dxa" w:w="2436"/>
          </w:tcPr>
          <w:p>
            <w:pPr>
              <w:spacing w:after="40"/>
            </w:pPr>
            <w:r>
              <w:rPr>
                <w:b w:val="0"/>
                <w:i w:val="0"/>
                <w:sz w:val="19"/>
              </w:rPr>
              <w:t>CC2.3</w:t>
            </w:r>
          </w:p>
        </w:tc>
        <w:tc>
          <w:tcPr>
            <w:tcW w:type="dxa" w:w="2436"/>
          </w:tcPr>
          <w:p>
            <w:pPr>
              <w:spacing w:after="40"/>
            </w:pPr>
            <w:r>
              <w:rPr>
                <w:b w:val="0"/>
                <w:i w:val="0"/>
                <w:sz w:val="19"/>
              </w:rPr>
              <w:t>Matters affecting internal control are communicated with customers, suppliers, regulators and other outside parties.</w:t>
            </w:r>
          </w:p>
        </w:tc>
        <w:tc>
          <w:tcPr>
            <w:tcW w:type="dxa" w:w="2436"/>
          </w:tcPr>
          <w:p>
            <w:pPr>
              <w:spacing w:after="40"/>
            </w:pPr>
            <w:r>
              <w:rPr>
                <w:b w:val="0"/>
                <w:i w:val="0"/>
                <w:sz w:val="19"/>
              </w:rPr>
              <w:t>ISMS-PLN-02, SOC-TPL-01, GOV-PRO-27, GOV-PRO-07</w:t>
            </w:r>
          </w:p>
        </w:tc>
        <w:tc>
          <w:tcPr>
            <w:tcW w:type="dxa" w:w="2436"/>
          </w:tcPr>
          <w:p>
            <w:pPr>
              <w:spacing w:after="40"/>
            </w:pPr>
            <w:r>
              <w:rPr>
                <w:b w:val="0"/>
                <w:i w:val="0"/>
                <w:sz w:val="19"/>
              </w:rPr>
              <w:t>GOV-REG-04</w:t>
            </w:r>
          </w:p>
        </w:tc>
      </w:tr>
    </w:tbl>
    <w:p/>
    <w:p>
      <w:pPr>
        <w:pStyle w:val="Heading1"/>
      </w:pPr>
      <w:r>
        <w:t>4. CC3: risk assessment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CC3.1</w:t>
            </w:r>
          </w:p>
        </w:tc>
        <w:tc>
          <w:tcPr>
            <w:tcW w:type="dxa" w:w="2436"/>
          </w:tcPr>
          <w:p>
            <w:pPr>
              <w:spacing w:after="40"/>
            </w:pPr>
            <w:r>
              <w:rPr>
                <w:b w:val="0"/>
                <w:i w:val="0"/>
                <w:sz w:val="19"/>
              </w:rPr>
              <w:t>Objectives are stated clearly enough that the risks to them can be identified.</w:t>
            </w:r>
          </w:p>
        </w:tc>
        <w:tc>
          <w:tcPr>
            <w:tcW w:type="dxa" w:w="2436"/>
          </w:tcPr>
          <w:p>
            <w:pPr>
              <w:spacing w:after="40"/>
            </w:pPr>
            <w:r>
              <w:rPr>
                <w:b w:val="0"/>
                <w:i w:val="0"/>
                <w:sz w:val="19"/>
              </w:rPr>
              <w:t>ISMS-PLN-01, GOV-PRO-05</w:t>
            </w:r>
          </w:p>
        </w:tc>
        <w:tc>
          <w:tcPr>
            <w:tcW w:type="dxa" w:w="2436"/>
          </w:tcPr>
          <w:p>
            <w:pPr>
              <w:spacing w:after="40"/>
            </w:pPr>
            <w:r>
              <w:rPr>
                <w:b w:val="0"/>
                <w:i w:val="0"/>
                <w:sz w:val="19"/>
              </w:rPr>
              <w:t>GOV-REG-21</w:t>
            </w:r>
          </w:p>
        </w:tc>
      </w:tr>
      <w:tr>
        <w:tc>
          <w:tcPr>
            <w:tcW w:type="dxa" w:w="2436"/>
          </w:tcPr>
          <w:p>
            <w:pPr>
              <w:spacing w:after="40"/>
            </w:pPr>
            <w:r>
              <w:rPr>
                <w:b w:val="0"/>
                <w:i w:val="0"/>
                <w:sz w:val="19"/>
              </w:rPr>
              <w:t>CC3.2</w:t>
            </w:r>
          </w:p>
        </w:tc>
        <w:tc>
          <w:tcPr>
            <w:tcW w:type="dxa" w:w="2436"/>
          </w:tcPr>
          <w:p>
            <w:pPr>
              <w:spacing w:after="40"/>
            </w:pPr>
            <w:r>
              <w:rPr>
                <w:b w:val="0"/>
                <w:i w:val="0"/>
                <w:sz w:val="19"/>
              </w:rPr>
              <w:t>Risks to the objectives are identified across the organisation and analysed to decide how to manage them.</w:t>
            </w:r>
          </w:p>
        </w:tc>
        <w:tc>
          <w:tcPr>
            <w:tcW w:type="dxa" w:w="2436"/>
          </w:tcPr>
          <w:p>
            <w:pPr>
              <w:spacing w:after="40"/>
            </w:pPr>
            <w:r>
              <w:rPr>
                <w:b w:val="0"/>
                <w:i w:val="0"/>
                <w:sz w:val="19"/>
              </w:rPr>
              <w:t>GOV-PRO-05, ISMS-PRO-01</w:t>
            </w:r>
          </w:p>
        </w:tc>
        <w:tc>
          <w:tcPr>
            <w:tcW w:type="dxa" w:w="2436"/>
          </w:tcPr>
          <w:p>
            <w:pPr>
              <w:spacing w:after="40"/>
            </w:pPr>
            <w:r>
              <w:rPr>
                <w:b w:val="0"/>
                <w:i w:val="0"/>
                <w:sz w:val="19"/>
              </w:rPr>
              <w:t>GOV-REG-05, ISMS-REG-01</w:t>
            </w:r>
          </w:p>
        </w:tc>
      </w:tr>
      <w:tr>
        <w:tc>
          <w:tcPr>
            <w:tcW w:type="dxa" w:w="2436"/>
          </w:tcPr>
          <w:p>
            <w:pPr>
              <w:spacing w:after="40"/>
            </w:pPr>
            <w:r>
              <w:rPr>
                <w:b w:val="0"/>
                <w:i w:val="0"/>
                <w:sz w:val="19"/>
              </w:rPr>
              <w:t>CC3.3</w:t>
            </w:r>
          </w:p>
        </w:tc>
        <w:tc>
          <w:tcPr>
            <w:tcW w:type="dxa" w:w="2436"/>
          </w:tcPr>
          <w:p>
            <w:pPr>
              <w:spacing w:after="40"/>
            </w:pPr>
            <w:r>
              <w:rPr>
                <w:b w:val="0"/>
                <w:i w:val="0"/>
                <w:sz w:val="19"/>
              </w:rPr>
              <w:t>The possibility of fraud is considered when assessing risk.</w:t>
            </w:r>
          </w:p>
        </w:tc>
        <w:tc>
          <w:tcPr>
            <w:tcW w:type="dxa" w:w="2436"/>
          </w:tcPr>
          <w:p>
            <w:pPr>
              <w:spacing w:after="40"/>
            </w:pPr>
            <w:r>
              <w:rPr>
                <w:b w:val="0"/>
                <w:i w:val="0"/>
                <w:sz w:val="19"/>
              </w:rPr>
              <w:t>GOV-PRO-05, GOV-PRO-10, GOV-PRO-18</w:t>
            </w:r>
          </w:p>
        </w:tc>
        <w:tc>
          <w:tcPr>
            <w:tcW w:type="dxa" w:w="2436"/>
          </w:tcPr>
          <w:p>
            <w:pPr>
              <w:spacing w:after="40"/>
            </w:pPr>
            <w:r>
              <w:rPr>
                <w:b w:val="0"/>
                <w:i w:val="0"/>
                <w:sz w:val="19"/>
              </w:rPr>
              <w:t>GOV-REG-05</w:t>
            </w:r>
          </w:p>
        </w:tc>
      </w:tr>
      <w:tr>
        <w:tc>
          <w:tcPr>
            <w:tcW w:type="dxa" w:w="2436"/>
          </w:tcPr>
          <w:p>
            <w:pPr>
              <w:spacing w:after="40"/>
            </w:pPr>
            <w:r>
              <w:rPr>
                <w:b w:val="0"/>
                <w:i w:val="0"/>
                <w:sz w:val="19"/>
              </w:rPr>
              <w:t>CC3.4</w:t>
            </w:r>
          </w:p>
        </w:tc>
        <w:tc>
          <w:tcPr>
            <w:tcW w:type="dxa" w:w="2436"/>
          </w:tcPr>
          <w:p>
            <w:pPr>
              <w:spacing w:after="40"/>
            </w:pPr>
            <w:r>
              <w:rPr>
                <w:b w:val="0"/>
                <w:i w:val="0"/>
                <w:sz w:val="19"/>
              </w:rPr>
              <w:t>Changes that could significantly affect internal control are identified and assessed.</w:t>
            </w:r>
          </w:p>
        </w:tc>
        <w:tc>
          <w:tcPr>
            <w:tcW w:type="dxa" w:w="2436"/>
          </w:tcPr>
          <w:p>
            <w:pPr>
              <w:spacing w:after="40"/>
            </w:pPr>
            <w:r>
              <w:rPr>
                <w:b w:val="0"/>
                <w:i w:val="0"/>
                <w:sz w:val="19"/>
              </w:rPr>
              <w:t>ISMS-PRO-01, GOV-PRO-05, GOV-PRO-09</w:t>
            </w:r>
          </w:p>
        </w:tc>
        <w:tc>
          <w:tcPr>
            <w:tcW w:type="dxa" w:w="2436"/>
          </w:tcPr>
          <w:p>
            <w:pPr>
              <w:spacing w:after="40"/>
            </w:pPr>
            <w:r>
              <w:rPr>
                <w:b w:val="0"/>
                <w:i w:val="0"/>
                <w:sz w:val="19"/>
              </w:rPr>
              <w:t>GOV-REG-05, ISMS-REG-03</w:t>
            </w:r>
          </w:p>
        </w:tc>
      </w:tr>
    </w:tbl>
    <w:p/>
    <w:p>
      <w:pPr>
        <w:pStyle w:val="Heading1"/>
      </w:pPr>
      <w:r>
        <w:t>5. CC4: monitoring activities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CC4.1</w:t>
            </w:r>
          </w:p>
        </w:tc>
        <w:tc>
          <w:tcPr>
            <w:tcW w:type="dxa" w:w="2436"/>
          </w:tcPr>
          <w:p>
            <w:pPr>
              <w:spacing w:after="40"/>
            </w:pPr>
            <w:r>
              <w:rPr>
                <w:b w:val="0"/>
                <w:i w:val="0"/>
                <w:sz w:val="19"/>
              </w:rPr>
              <w:t>Ongoing and separate evaluations check whether controls are present and working.</w:t>
            </w:r>
          </w:p>
        </w:tc>
        <w:tc>
          <w:tcPr>
            <w:tcW w:type="dxa" w:w="2436"/>
          </w:tcPr>
          <w:p>
            <w:pPr>
              <w:spacing w:after="40"/>
            </w:pPr>
            <w:r>
              <w:rPr>
                <w:b w:val="0"/>
                <w:i w:val="0"/>
                <w:sz w:val="19"/>
              </w:rPr>
              <w:t>SOC-PRO-01, GOV-PRO-02, ISMS-PRO-04</w:t>
            </w:r>
          </w:p>
        </w:tc>
        <w:tc>
          <w:tcPr>
            <w:tcW w:type="dxa" w:w="2436"/>
          </w:tcPr>
          <w:p>
            <w:pPr>
              <w:spacing w:after="40"/>
            </w:pPr>
            <w:r>
              <w:rPr>
                <w:b w:val="0"/>
                <w:i w:val="0"/>
                <w:sz w:val="19"/>
              </w:rPr>
              <w:t>GOV-REG-02, GOV-TPL-01</w:t>
            </w:r>
          </w:p>
        </w:tc>
      </w:tr>
      <w:tr>
        <w:tc>
          <w:tcPr>
            <w:tcW w:type="dxa" w:w="2436"/>
          </w:tcPr>
          <w:p>
            <w:pPr>
              <w:spacing w:after="40"/>
            </w:pPr>
            <w:r>
              <w:rPr>
                <w:b w:val="0"/>
                <w:i w:val="0"/>
                <w:sz w:val="19"/>
              </w:rPr>
              <w:t>CC4.2</w:t>
            </w:r>
          </w:p>
        </w:tc>
        <w:tc>
          <w:tcPr>
            <w:tcW w:type="dxa" w:w="2436"/>
          </w:tcPr>
          <w:p>
            <w:pPr>
              <w:spacing w:after="40"/>
            </w:pPr>
            <w:r>
              <w:rPr>
                <w:b w:val="0"/>
                <w:i w:val="0"/>
                <w:sz w:val="19"/>
              </w:rPr>
              <w:t>Control deficiencies are reported promptly to those who can act, including senior management and the oversight body.</w:t>
            </w:r>
          </w:p>
        </w:tc>
        <w:tc>
          <w:tcPr>
            <w:tcW w:type="dxa" w:w="2436"/>
          </w:tcPr>
          <w:p>
            <w:pPr>
              <w:spacing w:after="40"/>
            </w:pPr>
            <w:r>
              <w:rPr>
                <w:b w:val="0"/>
                <w:i w:val="0"/>
                <w:sz w:val="19"/>
              </w:rPr>
              <w:t>GOV-PRO-04, GOV-PRO-03</w:t>
            </w:r>
          </w:p>
        </w:tc>
        <w:tc>
          <w:tcPr>
            <w:tcW w:type="dxa" w:w="2436"/>
          </w:tcPr>
          <w:p>
            <w:pPr>
              <w:spacing w:after="40"/>
            </w:pPr>
            <w:r>
              <w:rPr>
                <w:b w:val="0"/>
                <w:i w:val="0"/>
                <w:sz w:val="19"/>
              </w:rPr>
              <w:t>GOV-REG-03, GOV-TPL-02</w:t>
            </w:r>
          </w:p>
        </w:tc>
      </w:tr>
    </w:tbl>
    <w:p/>
    <w:p>
      <w:pPr>
        <w:pStyle w:val="Heading1"/>
      </w:pPr>
      <w:r>
        <w:t>6. CC5: control activities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CC5.1</w:t>
            </w:r>
          </w:p>
        </w:tc>
        <w:tc>
          <w:tcPr>
            <w:tcW w:type="dxa" w:w="2436"/>
          </w:tcPr>
          <w:p>
            <w:pPr>
              <w:spacing w:after="40"/>
            </w:pPr>
            <w:r>
              <w:rPr>
                <w:b w:val="0"/>
                <w:i w:val="0"/>
                <w:sz w:val="19"/>
              </w:rPr>
              <w:t>Control activities are chosen and built so that risks to objectives are reduced to an acceptable level.</w:t>
            </w:r>
          </w:p>
        </w:tc>
        <w:tc>
          <w:tcPr>
            <w:tcW w:type="dxa" w:w="2436"/>
          </w:tcPr>
          <w:p>
            <w:pPr>
              <w:spacing w:after="40"/>
            </w:pPr>
            <w:r>
              <w:rPr>
                <w:b w:val="0"/>
                <w:i w:val="0"/>
                <w:sz w:val="19"/>
              </w:rPr>
              <w:t>GOV-PRO-05, GOV-PRO-24</w:t>
            </w:r>
          </w:p>
        </w:tc>
        <w:tc>
          <w:tcPr>
            <w:tcW w:type="dxa" w:w="2436"/>
          </w:tcPr>
          <w:p>
            <w:pPr>
              <w:spacing w:after="40"/>
            </w:pPr>
            <w:r>
              <w:rPr>
                <w:b w:val="0"/>
                <w:i w:val="0"/>
                <w:sz w:val="19"/>
              </w:rPr>
              <w:t>SOC-REG-01, ISMS-REG-01, GOV-REG-06</w:t>
            </w:r>
          </w:p>
        </w:tc>
      </w:tr>
      <w:tr>
        <w:tc>
          <w:tcPr>
            <w:tcW w:type="dxa" w:w="2436"/>
          </w:tcPr>
          <w:p>
            <w:pPr>
              <w:spacing w:after="40"/>
            </w:pPr>
            <w:r>
              <w:rPr>
                <w:b w:val="0"/>
                <w:i w:val="0"/>
                <w:sz w:val="19"/>
              </w:rPr>
              <w:t>CC5.2</w:t>
            </w:r>
          </w:p>
        </w:tc>
        <w:tc>
          <w:tcPr>
            <w:tcW w:type="dxa" w:w="2436"/>
          </w:tcPr>
          <w:p>
            <w:pPr>
              <w:spacing w:after="40"/>
            </w:pPr>
            <w:r>
              <w:rPr>
                <w:b w:val="0"/>
                <w:i w:val="0"/>
                <w:sz w:val="19"/>
              </w:rPr>
              <w:t>General controls over technology are chosen and built to support the objectives.</w:t>
            </w:r>
          </w:p>
        </w:tc>
        <w:tc>
          <w:tcPr>
            <w:tcW w:type="dxa" w:w="2436"/>
          </w:tcPr>
          <w:p>
            <w:pPr>
              <w:spacing w:after="40"/>
            </w:pPr>
            <w:r>
              <w:rPr>
                <w:b w:val="0"/>
                <w:i w:val="0"/>
                <w:sz w:val="19"/>
              </w:rPr>
              <w:t>GOV-PRO-26, GOV-CHK-02, GOV-PRO-15</w:t>
            </w:r>
          </w:p>
        </w:tc>
        <w:tc>
          <w:tcPr>
            <w:tcW w:type="dxa" w:w="2436"/>
          </w:tcPr>
          <w:p>
            <w:pPr>
              <w:spacing w:after="40"/>
            </w:pPr>
            <w:r>
              <w:rPr>
                <w:b w:val="0"/>
                <w:i w:val="0"/>
                <w:sz w:val="19"/>
              </w:rPr>
              <w:t>GOV-REG-24</w:t>
            </w:r>
          </w:p>
        </w:tc>
      </w:tr>
      <w:tr>
        <w:tc>
          <w:tcPr>
            <w:tcW w:type="dxa" w:w="2436"/>
          </w:tcPr>
          <w:p>
            <w:pPr>
              <w:spacing w:after="40"/>
            </w:pPr>
            <w:r>
              <w:rPr>
                <w:b w:val="0"/>
                <w:i w:val="0"/>
                <w:sz w:val="19"/>
              </w:rPr>
              <w:t>CC5.3</w:t>
            </w:r>
          </w:p>
        </w:tc>
        <w:tc>
          <w:tcPr>
            <w:tcW w:type="dxa" w:w="2436"/>
          </w:tcPr>
          <w:p>
            <w:pPr>
              <w:spacing w:after="40"/>
            </w:pPr>
            <w:r>
              <w:rPr>
                <w:b w:val="0"/>
                <w:i w:val="0"/>
                <w:sz w:val="19"/>
              </w:rPr>
              <w:t>Control activities are put into effect through policies that state expectations and procedures that carry them out.</w:t>
            </w:r>
          </w:p>
        </w:tc>
        <w:tc>
          <w:tcPr>
            <w:tcW w:type="dxa" w:w="2436"/>
          </w:tcPr>
          <w:p>
            <w:pPr>
              <w:spacing w:after="40"/>
            </w:pPr>
            <w:r>
              <w:rPr>
                <w:b w:val="0"/>
                <w:i w:val="0"/>
                <w:sz w:val="19"/>
              </w:rPr>
              <w:t>GOV-PRO-01, GOV-POL-03</w:t>
            </w:r>
          </w:p>
        </w:tc>
        <w:tc>
          <w:tcPr>
            <w:tcW w:type="dxa" w:w="2436"/>
          </w:tcPr>
          <w:p>
            <w:pPr>
              <w:spacing w:after="40"/>
            </w:pPr>
            <w:r>
              <w:rPr>
                <w:b w:val="0"/>
                <w:i w:val="0"/>
                <w:sz w:val="19"/>
              </w:rPr>
              <w:t>GOV-REG-01, GOV-REG-23</w:t>
            </w:r>
          </w:p>
        </w:tc>
      </w:tr>
    </w:tbl>
    <w:p/>
    <w:p>
      <w:pPr>
        <w:pStyle w:val="Heading1"/>
      </w:pPr>
      <w:r>
        <w:t>7. CC6: logical and physical access controls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CC6.1</w:t>
            </w:r>
          </w:p>
        </w:tc>
        <w:tc>
          <w:tcPr>
            <w:tcW w:type="dxa" w:w="2436"/>
          </w:tcPr>
          <w:p>
            <w:pPr>
              <w:spacing w:after="40"/>
            </w:pPr>
            <w:r>
              <w:rPr>
                <w:b w:val="0"/>
                <w:i w:val="0"/>
                <w:sz w:val="19"/>
              </w:rPr>
              <w:t>Access to systems and data is governed by identity, authentication and authorisation controls fit for the information's sensitivity.</w:t>
            </w:r>
          </w:p>
        </w:tc>
        <w:tc>
          <w:tcPr>
            <w:tcW w:type="dxa" w:w="2436"/>
          </w:tcPr>
          <w:p>
            <w:pPr>
              <w:spacing w:after="40"/>
            </w:pPr>
            <w:r>
              <w:rPr>
                <w:b w:val="0"/>
                <w:i w:val="0"/>
                <w:sz w:val="19"/>
              </w:rPr>
              <w:t>GOV-PRO-10, GOV-POL-06, GOV-PRO-20, GOV-PRO-16</w:t>
            </w:r>
          </w:p>
        </w:tc>
        <w:tc>
          <w:tcPr>
            <w:tcW w:type="dxa" w:w="2436"/>
          </w:tcPr>
          <w:p>
            <w:pPr>
              <w:spacing w:after="40"/>
            </w:pPr>
            <w:r>
              <w:rPr>
                <w:b w:val="0"/>
                <w:i w:val="0"/>
                <w:sz w:val="19"/>
              </w:rPr>
              <w:t>GOV-REG-13, GOV-REG-18</w:t>
            </w:r>
          </w:p>
        </w:tc>
      </w:tr>
      <w:tr>
        <w:tc>
          <w:tcPr>
            <w:tcW w:type="dxa" w:w="2436"/>
          </w:tcPr>
          <w:p>
            <w:pPr>
              <w:spacing w:after="40"/>
            </w:pPr>
            <w:r>
              <w:rPr>
                <w:b w:val="0"/>
                <w:i w:val="0"/>
                <w:sz w:val="19"/>
              </w:rPr>
              <w:t>CC6.2</w:t>
            </w:r>
          </w:p>
        </w:tc>
        <w:tc>
          <w:tcPr>
            <w:tcW w:type="dxa" w:w="2436"/>
          </w:tcPr>
          <w:p>
            <w:pPr>
              <w:spacing w:after="40"/>
            </w:pPr>
            <w:r>
              <w:rPr>
                <w:b w:val="0"/>
                <w:i w:val="0"/>
                <w:sz w:val="19"/>
              </w:rPr>
              <w:t>New users are registered and authorised before they receive credentials, and credentials are removed when no longer valid.</w:t>
            </w:r>
          </w:p>
        </w:tc>
        <w:tc>
          <w:tcPr>
            <w:tcW w:type="dxa" w:w="2436"/>
          </w:tcPr>
          <w:p>
            <w:pPr>
              <w:spacing w:after="40"/>
            </w:pPr>
            <w:r>
              <w:rPr>
                <w:b w:val="0"/>
                <w:i w:val="0"/>
                <w:sz w:val="19"/>
              </w:rPr>
              <w:t>GOV-PRO-10, GOV-TPL-09, GOV-CHK-01</w:t>
            </w:r>
          </w:p>
        </w:tc>
        <w:tc>
          <w:tcPr>
            <w:tcW w:type="dxa" w:w="2436"/>
          </w:tcPr>
          <w:p>
            <w:pPr>
              <w:spacing w:after="40"/>
            </w:pPr>
            <w:r>
              <w:rPr>
                <w:b w:val="0"/>
                <w:i w:val="0"/>
                <w:sz w:val="19"/>
              </w:rPr>
              <w:t>GOV-REG-12</w:t>
            </w:r>
          </w:p>
        </w:tc>
      </w:tr>
      <w:tr>
        <w:tc>
          <w:tcPr>
            <w:tcW w:type="dxa" w:w="2436"/>
          </w:tcPr>
          <w:p>
            <w:pPr>
              <w:spacing w:after="40"/>
            </w:pPr>
            <w:r>
              <w:rPr>
                <w:b w:val="0"/>
                <w:i w:val="0"/>
                <w:sz w:val="19"/>
              </w:rPr>
              <w:t>CC6.3</w:t>
            </w:r>
          </w:p>
        </w:tc>
        <w:tc>
          <w:tcPr>
            <w:tcW w:type="dxa" w:w="2436"/>
          </w:tcPr>
          <w:p>
            <w:pPr>
              <w:spacing w:after="40"/>
            </w:pPr>
            <w:r>
              <w:rPr>
                <w:b w:val="0"/>
                <w:i w:val="0"/>
                <w:sz w:val="19"/>
              </w:rPr>
              <w:t>Access is granted, changed and removed according to role, least privilege and separation of duties, and is reviewed.</w:t>
            </w:r>
          </w:p>
        </w:tc>
        <w:tc>
          <w:tcPr>
            <w:tcW w:type="dxa" w:w="2436"/>
          </w:tcPr>
          <w:p>
            <w:pPr>
              <w:spacing w:after="40"/>
            </w:pPr>
            <w:r>
              <w:rPr>
                <w:b w:val="0"/>
                <w:i w:val="0"/>
                <w:sz w:val="19"/>
              </w:rPr>
              <w:t>GOV-PRO-10</w:t>
            </w:r>
          </w:p>
        </w:tc>
        <w:tc>
          <w:tcPr>
            <w:tcW w:type="dxa" w:w="2436"/>
          </w:tcPr>
          <w:p>
            <w:pPr>
              <w:spacing w:after="40"/>
            </w:pPr>
            <w:r>
              <w:rPr>
                <w:b w:val="0"/>
                <w:i w:val="0"/>
                <w:sz w:val="19"/>
              </w:rPr>
              <w:t>GOV-REG-12, GOV-REG-13</w:t>
            </w:r>
          </w:p>
        </w:tc>
      </w:tr>
      <w:tr>
        <w:tc>
          <w:tcPr>
            <w:tcW w:type="dxa" w:w="2436"/>
          </w:tcPr>
          <w:p>
            <w:pPr>
              <w:spacing w:after="40"/>
            </w:pPr>
            <w:r>
              <w:rPr>
                <w:b w:val="0"/>
                <w:i w:val="0"/>
                <w:sz w:val="19"/>
              </w:rPr>
              <w:t>CC6.4</w:t>
            </w:r>
          </w:p>
        </w:tc>
        <w:tc>
          <w:tcPr>
            <w:tcW w:type="dxa" w:w="2436"/>
          </w:tcPr>
          <w:p>
            <w:pPr>
              <w:spacing w:after="40"/>
            </w:pPr>
            <w:r>
              <w:rPr>
                <w:b w:val="0"/>
                <w:i w:val="0"/>
                <w:sz w:val="19"/>
              </w:rPr>
              <w:t>Physical access to premises and equipment holding information is restricted to authorised people.</w:t>
            </w:r>
          </w:p>
        </w:tc>
        <w:tc>
          <w:tcPr>
            <w:tcW w:type="dxa" w:w="2436"/>
          </w:tcPr>
          <w:p>
            <w:pPr>
              <w:spacing w:after="40"/>
            </w:pPr>
            <w:r>
              <w:rPr>
                <w:b w:val="0"/>
                <w:i w:val="0"/>
                <w:sz w:val="19"/>
              </w:rPr>
              <w:t>GOV-PRO-17</w:t>
            </w:r>
          </w:p>
        </w:tc>
        <w:tc>
          <w:tcPr>
            <w:tcW w:type="dxa" w:w="2436"/>
          </w:tcPr>
          <w:p>
            <w:pPr>
              <w:spacing w:after="40"/>
            </w:pPr>
            <w:r>
              <w:rPr>
                <w:b w:val="0"/>
                <w:i w:val="0"/>
                <w:sz w:val="19"/>
              </w:rPr>
              <w:t>GOV-REG-19</w:t>
            </w:r>
          </w:p>
        </w:tc>
      </w:tr>
      <w:tr>
        <w:tc>
          <w:tcPr>
            <w:tcW w:type="dxa" w:w="2436"/>
          </w:tcPr>
          <w:p>
            <w:pPr>
              <w:spacing w:after="40"/>
            </w:pPr>
            <w:r>
              <w:rPr>
                <w:b w:val="0"/>
                <w:i w:val="0"/>
                <w:sz w:val="19"/>
              </w:rPr>
              <w:t>CC6.5</w:t>
            </w:r>
          </w:p>
        </w:tc>
        <w:tc>
          <w:tcPr>
            <w:tcW w:type="dxa" w:w="2436"/>
          </w:tcPr>
          <w:p>
            <w:pPr>
              <w:spacing w:after="40"/>
            </w:pPr>
            <w:r>
              <w:rPr>
                <w:b w:val="0"/>
                <w:i w:val="0"/>
                <w:sz w:val="19"/>
              </w:rPr>
              <w:t>Information is removed from equipment and media before they leave the organisation's control.</w:t>
            </w:r>
          </w:p>
        </w:tc>
        <w:tc>
          <w:tcPr>
            <w:tcW w:type="dxa" w:w="2436"/>
          </w:tcPr>
          <w:p>
            <w:pPr>
              <w:spacing w:after="40"/>
            </w:pPr>
            <w:r>
              <w:rPr>
                <w:b w:val="0"/>
                <w:i w:val="0"/>
                <w:sz w:val="19"/>
              </w:rPr>
              <w:t>GOV-PRO-16, GOV-PRO-17</w:t>
            </w:r>
          </w:p>
        </w:tc>
        <w:tc>
          <w:tcPr>
            <w:tcW w:type="dxa" w:w="2436"/>
          </w:tcPr>
          <w:p>
            <w:pPr>
              <w:spacing w:after="40"/>
            </w:pPr>
            <w:r>
              <w:rPr>
                <w:b w:val="0"/>
                <w:i w:val="0"/>
                <w:sz w:val="19"/>
              </w:rPr>
              <w:t>GOV-REG-20</w:t>
            </w:r>
          </w:p>
        </w:tc>
      </w:tr>
      <w:tr>
        <w:tc>
          <w:tcPr>
            <w:tcW w:type="dxa" w:w="2436"/>
          </w:tcPr>
          <w:p>
            <w:pPr>
              <w:spacing w:after="40"/>
            </w:pPr>
            <w:r>
              <w:rPr>
                <w:b w:val="0"/>
                <w:i w:val="0"/>
                <w:sz w:val="19"/>
              </w:rPr>
              <w:t>CC6.6</w:t>
            </w:r>
          </w:p>
        </w:tc>
        <w:tc>
          <w:tcPr>
            <w:tcW w:type="dxa" w:w="2436"/>
          </w:tcPr>
          <w:p>
            <w:pPr>
              <w:spacing w:after="40"/>
            </w:pPr>
            <w:r>
              <w:rPr>
                <w:b w:val="0"/>
                <w:i w:val="0"/>
                <w:sz w:val="19"/>
              </w:rPr>
              <w:t>The system boundary is defended against threats from outside it.</w:t>
            </w:r>
          </w:p>
        </w:tc>
        <w:tc>
          <w:tcPr>
            <w:tcW w:type="dxa" w:w="2436"/>
          </w:tcPr>
          <w:p>
            <w:pPr>
              <w:spacing w:after="40"/>
            </w:pPr>
            <w:r>
              <w:rPr>
                <w:b w:val="0"/>
                <w:i w:val="0"/>
                <w:sz w:val="19"/>
              </w:rPr>
              <w:t>GOV-PRO-21, GOV-POL-06, GOV-PRO-26</w:t>
            </w:r>
          </w:p>
        </w:tc>
        <w:tc>
          <w:tcPr>
            <w:tcW w:type="dxa" w:w="2436"/>
          </w:tcPr>
          <w:p>
            <w:pPr>
              <w:spacing w:after="40"/>
            </w:pPr>
            <w:r>
              <w:rPr>
                <w:b w:val="0"/>
                <w:i w:val="0"/>
                <w:sz w:val="19"/>
              </w:rPr>
              <w:t>GOV-REG-25</w:t>
            </w:r>
          </w:p>
        </w:tc>
      </w:tr>
      <w:tr>
        <w:tc>
          <w:tcPr>
            <w:tcW w:type="dxa" w:w="2436"/>
          </w:tcPr>
          <w:p>
            <w:pPr>
              <w:spacing w:after="40"/>
            </w:pPr>
            <w:r>
              <w:rPr>
                <w:b w:val="0"/>
                <w:i w:val="0"/>
                <w:sz w:val="19"/>
              </w:rPr>
              <w:t>CC6.7</w:t>
            </w:r>
          </w:p>
        </w:tc>
        <w:tc>
          <w:tcPr>
            <w:tcW w:type="dxa" w:w="2436"/>
          </w:tcPr>
          <w:p>
            <w:pPr>
              <w:spacing w:after="40"/>
            </w:pPr>
            <w:r>
              <w:rPr>
                <w:b w:val="0"/>
                <w:i w:val="0"/>
                <w:sz w:val="19"/>
              </w:rPr>
              <w:t>Movement of information in, out and around the system is limited to authorised parties and protected on the way.</w:t>
            </w:r>
          </w:p>
        </w:tc>
        <w:tc>
          <w:tcPr>
            <w:tcW w:type="dxa" w:w="2436"/>
          </w:tcPr>
          <w:p>
            <w:pPr>
              <w:spacing w:after="40"/>
            </w:pPr>
            <w:r>
              <w:rPr>
                <w:b w:val="0"/>
                <w:i w:val="0"/>
                <w:sz w:val="19"/>
              </w:rPr>
              <w:t>GOV-PRO-23, GOV-PRO-20, GOV-PRO-22</w:t>
            </w:r>
          </w:p>
        </w:tc>
        <w:tc>
          <w:tcPr>
            <w:tcW w:type="dxa" w:w="2436"/>
          </w:tcPr>
          <w:p>
            <w:pPr>
              <w:spacing w:after="40"/>
            </w:pPr>
            <w:r>
              <w:rPr>
                <w:b w:val="0"/>
                <w:i w:val="0"/>
                <w:sz w:val="19"/>
              </w:rPr>
              <w:t>GOV-REG-25, GOV-REG-18</w:t>
            </w:r>
          </w:p>
        </w:tc>
      </w:tr>
      <w:tr>
        <w:tc>
          <w:tcPr>
            <w:tcW w:type="dxa" w:w="2436"/>
          </w:tcPr>
          <w:p>
            <w:pPr>
              <w:spacing w:after="40"/>
            </w:pPr>
            <w:r>
              <w:rPr>
                <w:b w:val="0"/>
                <w:i w:val="0"/>
                <w:sz w:val="19"/>
              </w:rPr>
              <w:t>CC6.8</w:t>
            </w:r>
          </w:p>
        </w:tc>
        <w:tc>
          <w:tcPr>
            <w:tcW w:type="dxa" w:w="2436"/>
          </w:tcPr>
          <w:p>
            <w:pPr>
              <w:spacing w:after="40"/>
            </w:pPr>
            <w:r>
              <w:rPr>
                <w:b w:val="0"/>
                <w:i w:val="0"/>
                <w:sz w:val="19"/>
              </w:rPr>
              <w:t>Unauthorised or malicious software is prevented from being introduced and is detected if it is.</w:t>
            </w:r>
          </w:p>
        </w:tc>
        <w:tc>
          <w:tcPr>
            <w:tcW w:type="dxa" w:w="2436"/>
          </w:tcPr>
          <w:p>
            <w:pPr>
              <w:spacing w:after="40"/>
            </w:pPr>
            <w:r>
              <w:rPr>
                <w:b w:val="0"/>
                <w:i w:val="0"/>
                <w:sz w:val="19"/>
              </w:rPr>
              <w:t>GOV-PRO-22, GOV-CHK-02, GOV-PRO-15</w:t>
            </w:r>
          </w:p>
        </w:tc>
        <w:tc>
          <w:tcPr>
            <w:tcW w:type="dxa" w:w="2436"/>
          </w:tcPr>
          <w:p>
            <w:pPr>
              <w:spacing w:after="40"/>
            </w:pPr>
            <w:r>
              <w:rPr>
                <w:b w:val="0"/>
                <w:i w:val="0"/>
                <w:sz w:val="19"/>
              </w:rPr>
              <w:t>GOV-REG-24</w:t>
            </w:r>
          </w:p>
        </w:tc>
      </w:tr>
    </w:tbl>
    <w:p/>
    <w:p>
      <w:pPr>
        <w:pStyle w:val="Heading1"/>
      </w:pPr>
      <w:r>
        <w:t>8. CC7: system operations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CC7.1</w:t>
            </w:r>
          </w:p>
        </w:tc>
        <w:tc>
          <w:tcPr>
            <w:tcW w:type="dxa" w:w="2436"/>
          </w:tcPr>
          <w:p>
            <w:pPr>
              <w:spacing w:after="40"/>
            </w:pPr>
            <w:r>
              <w:rPr>
                <w:b w:val="0"/>
                <w:i w:val="0"/>
                <w:sz w:val="19"/>
              </w:rPr>
              <w:t>Configuration changes that weaken security and newly discovered vulnerabilities are detected and monitored.</w:t>
            </w:r>
          </w:p>
        </w:tc>
        <w:tc>
          <w:tcPr>
            <w:tcW w:type="dxa" w:w="2436"/>
          </w:tcPr>
          <w:p>
            <w:pPr>
              <w:spacing w:after="40"/>
            </w:pPr>
            <w:r>
              <w:rPr>
                <w:b w:val="0"/>
                <w:i w:val="0"/>
                <w:sz w:val="19"/>
              </w:rPr>
              <w:t>GOV-PRO-11, GOV-CHK-02, GOV-PRO-27</w:t>
            </w:r>
          </w:p>
        </w:tc>
        <w:tc>
          <w:tcPr>
            <w:tcW w:type="dxa" w:w="2436"/>
          </w:tcPr>
          <w:p>
            <w:pPr>
              <w:spacing w:after="40"/>
            </w:pPr>
            <w:r>
              <w:rPr>
                <w:b w:val="0"/>
                <w:i w:val="0"/>
                <w:sz w:val="19"/>
              </w:rPr>
              <w:t>GOV-REG-14</w:t>
            </w:r>
          </w:p>
        </w:tc>
      </w:tr>
      <w:tr>
        <w:tc>
          <w:tcPr>
            <w:tcW w:type="dxa" w:w="2436"/>
          </w:tcPr>
          <w:p>
            <w:pPr>
              <w:spacing w:after="40"/>
            </w:pPr>
            <w:r>
              <w:rPr>
                <w:b w:val="0"/>
                <w:i w:val="0"/>
                <w:sz w:val="19"/>
              </w:rPr>
              <w:t>CC7.2</w:t>
            </w:r>
          </w:p>
        </w:tc>
        <w:tc>
          <w:tcPr>
            <w:tcW w:type="dxa" w:w="2436"/>
          </w:tcPr>
          <w:p>
            <w:pPr>
              <w:spacing w:after="40"/>
            </w:pPr>
            <w:r>
              <w:rPr>
                <w:b w:val="0"/>
                <w:i w:val="0"/>
                <w:sz w:val="19"/>
              </w:rPr>
              <w:t>System activity is watched for anomalies that could indicate attack, error or disaster, and anomalies are analysed.</w:t>
            </w:r>
          </w:p>
        </w:tc>
        <w:tc>
          <w:tcPr>
            <w:tcW w:type="dxa" w:w="2436"/>
          </w:tcPr>
          <w:p>
            <w:pPr>
              <w:spacing w:after="40"/>
            </w:pPr>
            <w:r>
              <w:rPr>
                <w:b w:val="0"/>
                <w:i w:val="0"/>
                <w:sz w:val="19"/>
              </w:rPr>
              <w:t>GOV-PRO-14</w:t>
            </w:r>
          </w:p>
        </w:tc>
        <w:tc>
          <w:tcPr>
            <w:tcW w:type="dxa" w:w="2436"/>
          </w:tcPr>
          <w:p>
            <w:pPr>
              <w:spacing w:after="40"/>
            </w:pPr>
            <w:r>
              <w:rPr>
                <w:b w:val="0"/>
                <w:i w:val="0"/>
                <w:sz w:val="19"/>
              </w:rPr>
              <w:t>Alert and triage records under GOV-PRO-14</w:t>
            </w:r>
          </w:p>
        </w:tc>
      </w:tr>
      <w:tr>
        <w:tc>
          <w:tcPr>
            <w:tcW w:type="dxa" w:w="2436"/>
          </w:tcPr>
          <w:p>
            <w:pPr>
              <w:spacing w:after="40"/>
            </w:pPr>
            <w:r>
              <w:rPr>
                <w:b w:val="0"/>
                <w:i w:val="0"/>
                <w:sz w:val="19"/>
              </w:rPr>
              <w:t>CC7.3</w:t>
            </w:r>
          </w:p>
        </w:tc>
        <w:tc>
          <w:tcPr>
            <w:tcW w:type="dxa" w:w="2436"/>
          </w:tcPr>
          <w:p>
            <w:pPr>
              <w:spacing w:after="40"/>
            </w:pPr>
            <w:r>
              <w:rPr>
                <w:b w:val="0"/>
                <w:i w:val="0"/>
                <w:sz w:val="19"/>
              </w:rPr>
              <w:t>Security events are evaluated to decide whether they are incidents, and action is taken.</w:t>
            </w:r>
          </w:p>
        </w:tc>
        <w:tc>
          <w:tcPr>
            <w:tcW w:type="dxa" w:w="2436"/>
          </w:tcPr>
          <w:p>
            <w:pPr>
              <w:spacing w:after="40"/>
            </w:pPr>
            <w:r>
              <w:rPr>
                <w:b w:val="0"/>
                <w:i w:val="0"/>
                <w:sz w:val="19"/>
              </w:rPr>
              <w:t>GOV-PRO-07, GOV-TPL-05</w:t>
            </w:r>
          </w:p>
        </w:tc>
        <w:tc>
          <w:tcPr>
            <w:tcW w:type="dxa" w:w="2436"/>
          </w:tcPr>
          <w:p>
            <w:pPr>
              <w:spacing w:after="40"/>
            </w:pPr>
            <w:r>
              <w:rPr>
                <w:b w:val="0"/>
                <w:i w:val="0"/>
                <w:sz w:val="19"/>
              </w:rPr>
              <w:t>GOV-REG-08</w:t>
            </w:r>
          </w:p>
        </w:tc>
      </w:tr>
      <w:tr>
        <w:tc>
          <w:tcPr>
            <w:tcW w:type="dxa" w:w="2436"/>
          </w:tcPr>
          <w:p>
            <w:pPr>
              <w:spacing w:after="40"/>
            </w:pPr>
            <w:r>
              <w:rPr>
                <w:b w:val="0"/>
                <w:i w:val="0"/>
                <w:sz w:val="19"/>
              </w:rPr>
              <w:t>CC7.4</w:t>
            </w:r>
          </w:p>
        </w:tc>
        <w:tc>
          <w:tcPr>
            <w:tcW w:type="dxa" w:w="2436"/>
          </w:tcPr>
          <w:p>
            <w:pPr>
              <w:spacing w:after="40"/>
            </w:pPr>
            <w:r>
              <w:rPr>
                <w:b w:val="0"/>
                <w:i w:val="0"/>
                <w:sz w:val="19"/>
              </w:rPr>
              <w:t>Confirmed incidents are handled through a defined response process.</w:t>
            </w:r>
          </w:p>
        </w:tc>
        <w:tc>
          <w:tcPr>
            <w:tcW w:type="dxa" w:w="2436"/>
          </w:tcPr>
          <w:p>
            <w:pPr>
              <w:spacing w:after="40"/>
            </w:pPr>
            <w:r>
              <w:rPr>
                <w:b w:val="0"/>
                <w:i w:val="0"/>
                <w:sz w:val="19"/>
              </w:rPr>
              <w:t>GOV-PRO-07, PIMS-PRO-04</w:t>
            </w:r>
          </w:p>
        </w:tc>
        <w:tc>
          <w:tcPr>
            <w:tcW w:type="dxa" w:w="2436"/>
          </w:tcPr>
          <w:p>
            <w:pPr>
              <w:spacing w:after="40"/>
            </w:pPr>
            <w:r>
              <w:rPr>
                <w:b w:val="0"/>
                <w:i w:val="0"/>
                <w:sz w:val="19"/>
              </w:rPr>
              <w:t>GOV-REG-08, PIMS-REG-03</w:t>
            </w:r>
          </w:p>
        </w:tc>
      </w:tr>
      <w:tr>
        <w:tc>
          <w:tcPr>
            <w:tcW w:type="dxa" w:w="2436"/>
          </w:tcPr>
          <w:p>
            <w:pPr>
              <w:spacing w:after="40"/>
            </w:pPr>
            <w:r>
              <w:rPr>
                <w:b w:val="0"/>
                <w:i w:val="0"/>
                <w:sz w:val="19"/>
              </w:rPr>
              <w:t>CC7.5</w:t>
            </w:r>
          </w:p>
        </w:tc>
        <w:tc>
          <w:tcPr>
            <w:tcW w:type="dxa" w:w="2436"/>
          </w:tcPr>
          <w:p>
            <w:pPr>
              <w:spacing w:after="40"/>
            </w:pPr>
            <w:r>
              <w:rPr>
                <w:b w:val="0"/>
                <w:i w:val="0"/>
                <w:sz w:val="19"/>
              </w:rPr>
              <w:t>The organisation recovers from incidents and learns from them.</w:t>
            </w:r>
          </w:p>
        </w:tc>
        <w:tc>
          <w:tcPr>
            <w:tcW w:type="dxa" w:w="2436"/>
          </w:tcPr>
          <w:p>
            <w:pPr>
              <w:spacing w:after="40"/>
            </w:pPr>
            <w:r>
              <w:rPr>
                <w:b w:val="0"/>
                <w:i w:val="0"/>
                <w:sz w:val="19"/>
              </w:rPr>
              <w:t>GOV-PRO-07, GOV-TPL-11, GOV-PRO-13</w:t>
            </w:r>
          </w:p>
        </w:tc>
        <w:tc>
          <w:tcPr>
            <w:tcW w:type="dxa" w:w="2436"/>
          </w:tcPr>
          <w:p>
            <w:pPr>
              <w:spacing w:after="40"/>
            </w:pPr>
            <w:r>
              <w:rPr>
                <w:b w:val="0"/>
                <w:i w:val="0"/>
                <w:sz w:val="19"/>
              </w:rPr>
              <w:t>GOV-REG-08, GOV-REG-03</w:t>
            </w:r>
          </w:p>
        </w:tc>
      </w:tr>
    </w:tbl>
    <w:p/>
    <w:p>
      <w:pPr>
        <w:pStyle w:val="Heading1"/>
      </w:pPr>
      <w:r>
        <w:t>9. CC8: change management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CC8.1</w:t>
            </w:r>
          </w:p>
        </w:tc>
        <w:tc>
          <w:tcPr>
            <w:tcW w:type="dxa" w:w="2436"/>
          </w:tcPr>
          <w:p>
            <w:pPr>
              <w:spacing w:after="40"/>
            </w:pPr>
            <w:r>
              <w:rPr>
                <w:b w:val="0"/>
                <w:i w:val="0"/>
                <w:sz w:val="19"/>
              </w:rPr>
              <w:t>Changes to infrastructure, software, data and procedures are authorised, designed, tested, approved and implemented under control.</w:t>
            </w:r>
          </w:p>
        </w:tc>
        <w:tc>
          <w:tcPr>
            <w:tcW w:type="dxa" w:w="2436"/>
          </w:tcPr>
          <w:p>
            <w:pPr>
              <w:spacing w:after="40"/>
            </w:pPr>
            <w:r>
              <w:rPr>
                <w:b w:val="0"/>
                <w:i w:val="0"/>
                <w:sz w:val="19"/>
              </w:rPr>
              <w:t>GOV-PRO-09, GOV-PRO-15, GOV-TPL-08, PB-07</w:t>
            </w:r>
          </w:p>
        </w:tc>
        <w:tc>
          <w:tcPr>
            <w:tcW w:type="dxa" w:w="2436"/>
          </w:tcPr>
          <w:p>
            <w:pPr>
              <w:spacing w:after="40"/>
            </w:pPr>
            <w:r>
              <w:rPr>
                <w:b w:val="0"/>
                <w:i w:val="0"/>
                <w:sz w:val="19"/>
              </w:rPr>
              <w:t>GOV-REG-11, GOV-REG-29, GOV-TPL-12</w:t>
            </w:r>
          </w:p>
        </w:tc>
      </w:tr>
    </w:tbl>
    <w:p/>
    <w:p>
      <w:pPr>
        <w:pStyle w:val="Heading1"/>
      </w:pPr>
      <w:r>
        <w:t>10. CC9: risk mitigation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CC9.1</w:t>
            </w:r>
          </w:p>
        </w:tc>
        <w:tc>
          <w:tcPr>
            <w:tcW w:type="dxa" w:w="2436"/>
          </w:tcPr>
          <w:p>
            <w:pPr>
              <w:spacing w:after="40"/>
            </w:pPr>
            <w:r>
              <w:rPr>
                <w:b w:val="0"/>
                <w:i w:val="0"/>
                <w:sz w:val="19"/>
              </w:rPr>
              <w:t>Activities are in place to reduce the risk of business disruption.</w:t>
            </w:r>
          </w:p>
        </w:tc>
        <w:tc>
          <w:tcPr>
            <w:tcW w:type="dxa" w:w="2436"/>
          </w:tcPr>
          <w:p>
            <w:pPr>
              <w:spacing w:after="40"/>
            </w:pPr>
            <w:r>
              <w:rPr>
                <w:b w:val="0"/>
                <w:i w:val="0"/>
                <w:sz w:val="19"/>
              </w:rPr>
              <w:t>GOV-PRO-13, GOV-TPL-07, GOV-PRO-05</w:t>
            </w:r>
          </w:p>
        </w:tc>
        <w:tc>
          <w:tcPr>
            <w:tcW w:type="dxa" w:w="2436"/>
          </w:tcPr>
          <w:p>
            <w:pPr>
              <w:spacing w:after="40"/>
            </w:pPr>
            <w:r>
              <w:rPr>
                <w:b w:val="0"/>
                <w:i w:val="0"/>
                <w:sz w:val="19"/>
              </w:rPr>
              <w:t>GOV-REG-16, GOV-REG-05</w:t>
            </w:r>
          </w:p>
        </w:tc>
      </w:tr>
      <w:tr>
        <w:tc>
          <w:tcPr>
            <w:tcW w:type="dxa" w:w="2436"/>
          </w:tcPr>
          <w:p>
            <w:pPr>
              <w:spacing w:after="40"/>
            </w:pPr>
            <w:r>
              <w:rPr>
                <w:b w:val="0"/>
                <w:i w:val="0"/>
                <w:sz w:val="19"/>
              </w:rPr>
              <w:t>CC9.2</w:t>
            </w:r>
          </w:p>
        </w:tc>
        <w:tc>
          <w:tcPr>
            <w:tcW w:type="dxa" w:w="2436"/>
          </w:tcPr>
          <w:p>
            <w:pPr>
              <w:spacing w:after="40"/>
            </w:pPr>
            <w:r>
              <w:rPr>
                <w:b w:val="0"/>
                <w:i w:val="0"/>
                <w:sz w:val="19"/>
              </w:rPr>
              <w:t>Risks from vendors and business partners are assessed and managed.</w:t>
            </w:r>
          </w:p>
        </w:tc>
        <w:tc>
          <w:tcPr>
            <w:tcW w:type="dxa" w:w="2436"/>
          </w:tcPr>
          <w:p>
            <w:pPr>
              <w:spacing w:after="40"/>
            </w:pPr>
            <w:r>
              <w:rPr>
                <w:b w:val="0"/>
                <w:i w:val="0"/>
                <w:sz w:val="19"/>
              </w:rPr>
              <w:t>GOV-PRO-06, SOC-PRO-02, GOV-TPL-04</w:t>
            </w:r>
          </w:p>
        </w:tc>
        <w:tc>
          <w:tcPr>
            <w:tcW w:type="dxa" w:w="2436"/>
          </w:tcPr>
          <w:p>
            <w:pPr>
              <w:spacing w:after="40"/>
            </w:pPr>
            <w:r>
              <w:rPr>
                <w:b w:val="0"/>
                <w:i w:val="0"/>
                <w:sz w:val="19"/>
              </w:rPr>
              <w:t>GOV-REG-07</w:t>
            </w:r>
          </w:p>
        </w:tc>
      </w:tr>
    </w:tbl>
    <w:p/>
    <w:p>
      <w:pPr>
        <w:pStyle w:val="Heading1"/>
      </w:pPr>
      <w:r>
        <w:t>11. A1: availability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A1.1</w:t>
            </w:r>
          </w:p>
        </w:tc>
        <w:tc>
          <w:tcPr>
            <w:tcW w:type="dxa" w:w="2436"/>
          </w:tcPr>
          <w:p>
            <w:pPr>
              <w:spacing w:after="40"/>
            </w:pPr>
            <w:r>
              <w:rPr>
                <w:b w:val="0"/>
                <w:i w:val="0"/>
                <w:sz w:val="19"/>
              </w:rPr>
              <w:t>Capacity and use are measured and managed so that demand can be met and capacity added in time.</w:t>
            </w:r>
          </w:p>
        </w:tc>
        <w:tc>
          <w:tcPr>
            <w:tcW w:type="dxa" w:w="2436"/>
          </w:tcPr>
          <w:p>
            <w:pPr>
              <w:spacing w:after="40"/>
            </w:pPr>
            <w:r>
              <w:rPr>
                <w:b w:val="0"/>
                <w:i w:val="0"/>
                <w:sz w:val="19"/>
              </w:rPr>
              <w:t>GOV-PRO-19</w:t>
            </w:r>
          </w:p>
        </w:tc>
        <w:tc>
          <w:tcPr>
            <w:tcW w:type="dxa" w:w="2436"/>
          </w:tcPr>
          <w:p>
            <w:pPr>
              <w:spacing w:after="40"/>
            </w:pPr>
            <w:r>
              <w:rPr>
                <w:b w:val="0"/>
                <w:i w:val="0"/>
                <w:sz w:val="19"/>
              </w:rPr>
              <w:t>GOV-REG-17</w:t>
            </w:r>
          </w:p>
        </w:tc>
      </w:tr>
      <w:tr>
        <w:tc>
          <w:tcPr>
            <w:tcW w:type="dxa" w:w="2436"/>
          </w:tcPr>
          <w:p>
            <w:pPr>
              <w:spacing w:after="40"/>
            </w:pPr>
            <w:r>
              <w:rPr>
                <w:b w:val="0"/>
                <w:i w:val="0"/>
                <w:sz w:val="19"/>
              </w:rPr>
              <w:t>A1.2</w:t>
            </w:r>
          </w:p>
        </w:tc>
        <w:tc>
          <w:tcPr>
            <w:tcW w:type="dxa" w:w="2436"/>
          </w:tcPr>
          <w:p>
            <w:pPr>
              <w:spacing w:after="40"/>
            </w:pPr>
            <w:r>
              <w:rPr>
                <w:b w:val="0"/>
                <w:i w:val="0"/>
                <w:sz w:val="19"/>
              </w:rPr>
              <w:t>Environmental protections, backups and recovery infrastructure are designed, operated and maintained.</w:t>
            </w:r>
          </w:p>
        </w:tc>
        <w:tc>
          <w:tcPr>
            <w:tcW w:type="dxa" w:w="2436"/>
          </w:tcPr>
          <w:p>
            <w:pPr>
              <w:spacing w:after="40"/>
            </w:pPr>
            <w:r>
              <w:rPr>
                <w:b w:val="0"/>
                <w:i w:val="0"/>
                <w:sz w:val="19"/>
              </w:rPr>
              <w:t>GOV-PRO-12, GOV-PRO-17, GOV-PRO-13</w:t>
            </w:r>
          </w:p>
        </w:tc>
        <w:tc>
          <w:tcPr>
            <w:tcW w:type="dxa" w:w="2436"/>
          </w:tcPr>
          <w:p>
            <w:pPr>
              <w:spacing w:after="40"/>
            </w:pPr>
            <w:r>
              <w:rPr>
                <w:b w:val="0"/>
                <w:i w:val="0"/>
                <w:sz w:val="19"/>
              </w:rPr>
              <w:t>GOV-REG-15</w:t>
            </w:r>
          </w:p>
        </w:tc>
      </w:tr>
      <w:tr>
        <w:tc>
          <w:tcPr>
            <w:tcW w:type="dxa" w:w="2436"/>
          </w:tcPr>
          <w:p>
            <w:pPr>
              <w:spacing w:after="40"/>
            </w:pPr>
            <w:r>
              <w:rPr>
                <w:b w:val="0"/>
                <w:i w:val="0"/>
                <w:sz w:val="19"/>
              </w:rPr>
              <w:t>A1.3</w:t>
            </w:r>
          </w:p>
        </w:tc>
        <w:tc>
          <w:tcPr>
            <w:tcW w:type="dxa" w:w="2436"/>
          </w:tcPr>
          <w:p>
            <w:pPr>
              <w:spacing w:after="40"/>
            </w:pPr>
            <w:r>
              <w:rPr>
                <w:b w:val="0"/>
                <w:i w:val="0"/>
                <w:sz w:val="19"/>
              </w:rPr>
              <w:t>Recovery procedures are tested to confirm the system can be recovered.</w:t>
            </w:r>
          </w:p>
        </w:tc>
        <w:tc>
          <w:tcPr>
            <w:tcW w:type="dxa" w:w="2436"/>
          </w:tcPr>
          <w:p>
            <w:pPr>
              <w:spacing w:after="40"/>
            </w:pPr>
            <w:r>
              <w:rPr>
                <w:b w:val="0"/>
                <w:i w:val="0"/>
                <w:sz w:val="19"/>
              </w:rPr>
              <w:t>GOV-PRO-13, GOV-PRO-12</w:t>
            </w:r>
          </w:p>
        </w:tc>
        <w:tc>
          <w:tcPr>
            <w:tcW w:type="dxa" w:w="2436"/>
          </w:tcPr>
          <w:p>
            <w:pPr>
              <w:spacing w:after="40"/>
            </w:pPr>
            <w:r>
              <w:rPr>
                <w:b w:val="0"/>
                <w:i w:val="0"/>
                <w:sz w:val="19"/>
              </w:rPr>
              <w:t>GOV-REG-16, GOV-REG-15</w:t>
            </w:r>
          </w:p>
        </w:tc>
      </w:tr>
    </w:tbl>
    <w:p/>
    <w:p>
      <w:pPr>
        <w:pStyle w:val="Heading1"/>
      </w:pPr>
      <w:r>
        <w:t>12. C1: confidentiality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C1.1</w:t>
            </w:r>
          </w:p>
        </w:tc>
        <w:tc>
          <w:tcPr>
            <w:tcW w:type="dxa" w:w="2436"/>
          </w:tcPr>
          <w:p>
            <w:pPr>
              <w:spacing w:after="40"/>
            </w:pPr>
            <w:r>
              <w:rPr>
                <w:b w:val="0"/>
                <w:i w:val="0"/>
                <w:sz w:val="19"/>
              </w:rPr>
              <w:t>Confidential information is identified and protected throughout its life.</w:t>
            </w:r>
          </w:p>
        </w:tc>
        <w:tc>
          <w:tcPr>
            <w:tcW w:type="dxa" w:w="2436"/>
          </w:tcPr>
          <w:p>
            <w:pPr>
              <w:spacing w:after="40"/>
            </w:pPr>
            <w:r>
              <w:rPr>
                <w:b w:val="0"/>
                <w:i w:val="0"/>
                <w:sz w:val="19"/>
              </w:rPr>
              <w:t>GOV-PRO-16, GOV-PRO-23</w:t>
            </w:r>
          </w:p>
        </w:tc>
        <w:tc>
          <w:tcPr>
            <w:tcW w:type="dxa" w:w="2436"/>
          </w:tcPr>
          <w:p>
            <w:pPr>
              <w:spacing w:after="40"/>
            </w:pPr>
            <w:r>
              <w:rPr>
                <w:b w:val="0"/>
                <w:i w:val="0"/>
                <w:sz w:val="19"/>
              </w:rPr>
              <w:t>GOV-REG-10, GOV-REG-25</w:t>
            </w:r>
          </w:p>
        </w:tc>
      </w:tr>
      <w:tr>
        <w:tc>
          <w:tcPr>
            <w:tcW w:type="dxa" w:w="2436"/>
          </w:tcPr>
          <w:p>
            <w:pPr>
              <w:spacing w:after="40"/>
            </w:pPr>
            <w:r>
              <w:rPr>
                <w:b w:val="0"/>
                <w:i w:val="0"/>
                <w:sz w:val="19"/>
              </w:rPr>
              <w:t>C1.2</w:t>
            </w:r>
          </w:p>
        </w:tc>
        <w:tc>
          <w:tcPr>
            <w:tcW w:type="dxa" w:w="2436"/>
          </w:tcPr>
          <w:p>
            <w:pPr>
              <w:spacing w:after="40"/>
            </w:pPr>
            <w:r>
              <w:rPr>
                <w:b w:val="0"/>
                <w:i w:val="0"/>
                <w:sz w:val="19"/>
              </w:rPr>
              <w:t>Confidential information is disposed of when it is no longer needed, as committed.</w:t>
            </w:r>
          </w:p>
        </w:tc>
        <w:tc>
          <w:tcPr>
            <w:tcW w:type="dxa" w:w="2436"/>
          </w:tcPr>
          <w:p>
            <w:pPr>
              <w:spacing w:after="40"/>
            </w:pPr>
            <w:r>
              <w:rPr>
                <w:b w:val="0"/>
                <w:i w:val="0"/>
                <w:sz w:val="19"/>
              </w:rPr>
              <w:t>GOV-PRO-16, PIMS-POL-02</w:t>
            </w:r>
          </w:p>
        </w:tc>
        <w:tc>
          <w:tcPr>
            <w:tcW w:type="dxa" w:w="2436"/>
          </w:tcPr>
          <w:p>
            <w:pPr>
              <w:spacing w:after="40"/>
            </w:pPr>
            <w:r>
              <w:rPr>
                <w:b w:val="0"/>
                <w:i w:val="0"/>
                <w:sz w:val="19"/>
              </w:rPr>
              <w:t>GOV-REG-20, PIMS-REG-07</w:t>
            </w:r>
          </w:p>
        </w:tc>
      </w:tr>
    </w:tbl>
    <w:p/>
    <w:p>
      <w:pPr>
        <w:pStyle w:val="Heading1"/>
      </w:pPr>
      <w:r>
        <w:t>13. PI1: processing integrity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PI1.1</w:t>
            </w:r>
          </w:p>
        </w:tc>
        <w:tc>
          <w:tcPr>
            <w:tcW w:type="dxa" w:w="2436"/>
          </w:tcPr>
          <w:p>
            <w:pPr>
              <w:spacing w:after="40"/>
            </w:pPr>
            <w:r>
              <w:rPr>
                <w:b w:val="0"/>
                <w:i w:val="0"/>
                <w:sz w:val="19"/>
              </w:rPr>
              <w:t>The organisation defines what its processing must achieve and tells users what the service does and the data it uses.</w:t>
            </w:r>
          </w:p>
        </w:tc>
        <w:tc>
          <w:tcPr>
            <w:tcW w:type="dxa" w:w="2436"/>
          </w:tcPr>
          <w:p>
            <w:pPr>
              <w:spacing w:after="40"/>
            </w:pPr>
            <w:r>
              <w:rPr>
                <w:b w:val="0"/>
                <w:i w:val="0"/>
                <w:sz w:val="19"/>
              </w:rPr>
              <w:t>SOC-POL-01, SOC-TPL-01</w:t>
            </w:r>
          </w:p>
        </w:tc>
        <w:tc>
          <w:tcPr>
            <w:tcW w:type="dxa" w:w="2436"/>
          </w:tcPr>
          <w:p>
            <w:pPr>
              <w:spacing w:after="40"/>
            </w:pPr>
            <w:r>
              <w:rPr>
                <w:b w:val="0"/>
                <w:i w:val="0"/>
                <w:sz w:val="19"/>
              </w:rPr>
              <w:t>Processing specifications under SOC-POL-01</w:t>
            </w:r>
          </w:p>
        </w:tc>
      </w:tr>
      <w:tr>
        <w:tc>
          <w:tcPr>
            <w:tcW w:type="dxa" w:w="2436"/>
          </w:tcPr>
          <w:p>
            <w:pPr>
              <w:spacing w:after="40"/>
            </w:pPr>
            <w:r>
              <w:rPr>
                <w:b w:val="0"/>
                <w:i w:val="0"/>
                <w:sz w:val="19"/>
              </w:rPr>
              <w:t>PI1.2</w:t>
            </w:r>
          </w:p>
        </w:tc>
        <w:tc>
          <w:tcPr>
            <w:tcW w:type="dxa" w:w="2436"/>
          </w:tcPr>
          <w:p>
            <w:pPr>
              <w:spacing w:after="40"/>
            </w:pPr>
            <w:r>
              <w:rPr>
                <w:b w:val="0"/>
                <w:i w:val="0"/>
                <w:sz w:val="19"/>
              </w:rPr>
              <w:t>Inputs are controlled for completeness, accuracy and authorisation.</w:t>
            </w:r>
          </w:p>
        </w:tc>
        <w:tc>
          <w:tcPr>
            <w:tcW w:type="dxa" w:w="2436"/>
          </w:tcPr>
          <w:p>
            <w:pPr>
              <w:spacing w:after="40"/>
            </w:pPr>
            <w:r>
              <w:rPr>
                <w:b w:val="0"/>
                <w:i w:val="0"/>
                <w:sz w:val="19"/>
              </w:rPr>
              <w:t>SOC-PRO-03</w:t>
            </w:r>
          </w:p>
        </w:tc>
        <w:tc>
          <w:tcPr>
            <w:tcW w:type="dxa" w:w="2436"/>
          </w:tcPr>
          <w:p>
            <w:pPr>
              <w:spacing w:after="40"/>
            </w:pPr>
            <w:r>
              <w:rPr>
                <w:b w:val="0"/>
                <w:i w:val="0"/>
                <w:sz w:val="19"/>
              </w:rPr>
              <w:t>Quarantine and reconciliation records under SOC-PRO-03</w:t>
            </w:r>
          </w:p>
        </w:tc>
      </w:tr>
      <w:tr>
        <w:tc>
          <w:tcPr>
            <w:tcW w:type="dxa" w:w="2436"/>
          </w:tcPr>
          <w:p>
            <w:pPr>
              <w:spacing w:after="40"/>
            </w:pPr>
            <w:r>
              <w:rPr>
                <w:b w:val="0"/>
                <w:i w:val="0"/>
                <w:sz w:val="19"/>
              </w:rPr>
              <w:t>PI1.3</w:t>
            </w:r>
          </w:p>
        </w:tc>
        <w:tc>
          <w:tcPr>
            <w:tcW w:type="dxa" w:w="2436"/>
          </w:tcPr>
          <w:p>
            <w:pPr>
              <w:spacing w:after="40"/>
            </w:pPr>
            <w:r>
              <w:rPr>
                <w:b w:val="0"/>
                <w:i w:val="0"/>
                <w:sz w:val="19"/>
              </w:rPr>
              <w:t>Processing itself is controlled so that it is complete, accurate, timely and authorised.</w:t>
            </w:r>
          </w:p>
        </w:tc>
        <w:tc>
          <w:tcPr>
            <w:tcW w:type="dxa" w:w="2436"/>
          </w:tcPr>
          <w:p>
            <w:pPr>
              <w:spacing w:after="40"/>
            </w:pPr>
            <w:r>
              <w:rPr>
                <w:b w:val="0"/>
                <w:i w:val="0"/>
                <w:sz w:val="19"/>
              </w:rPr>
              <w:t>SOC-PRO-03, SOC-POL-01, GOV-PRO-14</w:t>
            </w:r>
          </w:p>
        </w:tc>
        <w:tc>
          <w:tcPr>
            <w:tcW w:type="dxa" w:w="2436"/>
          </w:tcPr>
          <w:p>
            <w:pPr>
              <w:spacing w:after="40"/>
            </w:pPr>
            <w:r>
              <w:rPr>
                <w:b w:val="0"/>
                <w:i w:val="0"/>
                <w:sz w:val="19"/>
              </w:rPr>
              <w:t>Job logs and reconciliation records</w:t>
            </w:r>
          </w:p>
        </w:tc>
      </w:tr>
      <w:tr>
        <w:tc>
          <w:tcPr>
            <w:tcW w:type="dxa" w:w="2436"/>
          </w:tcPr>
          <w:p>
            <w:pPr>
              <w:spacing w:after="40"/>
            </w:pPr>
            <w:r>
              <w:rPr>
                <w:b w:val="0"/>
                <w:i w:val="0"/>
                <w:sz w:val="19"/>
              </w:rPr>
              <w:t>PI1.4</w:t>
            </w:r>
          </w:p>
        </w:tc>
        <w:tc>
          <w:tcPr>
            <w:tcW w:type="dxa" w:w="2436"/>
          </w:tcPr>
          <w:p>
            <w:pPr>
              <w:spacing w:after="40"/>
            </w:pPr>
            <w:r>
              <w:rPr>
                <w:b w:val="0"/>
                <w:i w:val="0"/>
                <w:sz w:val="19"/>
              </w:rPr>
              <w:t>Outputs are delivered completely, accurately and on time to the right recipients.</w:t>
            </w:r>
          </w:p>
        </w:tc>
        <w:tc>
          <w:tcPr>
            <w:tcW w:type="dxa" w:w="2436"/>
          </w:tcPr>
          <w:p>
            <w:pPr>
              <w:spacing w:after="40"/>
            </w:pPr>
            <w:r>
              <w:rPr>
                <w:b w:val="0"/>
                <w:i w:val="0"/>
                <w:sz w:val="19"/>
              </w:rPr>
              <w:t>SOC-PRO-04</w:t>
            </w:r>
          </w:p>
        </w:tc>
        <w:tc>
          <w:tcPr>
            <w:tcW w:type="dxa" w:w="2436"/>
          </w:tcPr>
          <w:p>
            <w:pPr>
              <w:spacing w:after="40"/>
            </w:pPr>
            <w:r>
              <w:rPr>
                <w:b w:val="0"/>
                <w:i w:val="0"/>
                <w:sz w:val="19"/>
              </w:rPr>
              <w:t>Delivery logs and verification records under SOC-PRO-04</w:t>
            </w:r>
          </w:p>
        </w:tc>
      </w:tr>
      <w:tr>
        <w:tc>
          <w:tcPr>
            <w:tcW w:type="dxa" w:w="2436"/>
          </w:tcPr>
          <w:p>
            <w:pPr>
              <w:spacing w:after="40"/>
            </w:pPr>
            <w:r>
              <w:rPr>
                <w:b w:val="0"/>
                <w:i w:val="0"/>
                <w:sz w:val="19"/>
              </w:rPr>
              <w:t>PI1.5</w:t>
            </w:r>
          </w:p>
        </w:tc>
        <w:tc>
          <w:tcPr>
            <w:tcW w:type="dxa" w:w="2436"/>
          </w:tcPr>
          <w:p>
            <w:pPr>
              <w:spacing w:after="40"/>
            </w:pPr>
            <w:r>
              <w:rPr>
                <w:b w:val="0"/>
                <w:i w:val="0"/>
                <w:sz w:val="19"/>
              </w:rPr>
              <w:t>Inputs, items in processing and outputs are stored completely, accurately and for the required time.</w:t>
            </w:r>
          </w:p>
        </w:tc>
        <w:tc>
          <w:tcPr>
            <w:tcW w:type="dxa" w:w="2436"/>
          </w:tcPr>
          <w:p>
            <w:pPr>
              <w:spacing w:after="40"/>
            </w:pPr>
            <w:r>
              <w:rPr>
                <w:b w:val="0"/>
                <w:i w:val="0"/>
                <w:sz w:val="19"/>
              </w:rPr>
              <w:t>SOC-PRO-04, GOV-PRO-12</w:t>
            </w:r>
          </w:p>
        </w:tc>
        <w:tc>
          <w:tcPr>
            <w:tcW w:type="dxa" w:w="2436"/>
          </w:tcPr>
          <w:p>
            <w:pPr>
              <w:spacing w:after="40"/>
            </w:pPr>
            <w:r>
              <w:rPr>
                <w:b w:val="0"/>
                <w:i w:val="0"/>
                <w:sz w:val="19"/>
              </w:rPr>
              <w:t>Integrity verification records, GOV-REG-15</w:t>
            </w:r>
          </w:p>
        </w:tc>
      </w:tr>
    </w:tbl>
    <w:p/>
    <w:p>
      <w:pPr>
        <w:pStyle w:val="Heading1"/>
      </w:pPr>
      <w:r>
        <w:t>14. P1 to P8: privacy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Criterion</w:t>
            </w:r>
          </w:p>
        </w:tc>
        <w:tc>
          <w:tcPr>
            <w:tcW w:type="dxa" w:w="2436"/>
            <w:shd w:val="clear" w:color="auto" w:fill="EEF3F8"/>
          </w:tcPr>
          <w:p>
            <w:pPr>
              <w:spacing w:after="40"/>
            </w:pPr>
            <w:r>
              <w:rPr>
                <w:b/>
                <w:i w:val="0"/>
                <w:sz w:val="19"/>
              </w:rPr>
              <w:t>Theme in plain words</w:t>
            </w:r>
          </w:p>
        </w:tc>
        <w:tc>
          <w:tcPr>
            <w:tcW w:type="dxa" w:w="2436"/>
            <w:shd w:val="clear" w:color="auto" w:fill="EEF3F8"/>
          </w:tcPr>
          <w:p>
            <w:pPr>
              <w:spacing w:after="40"/>
            </w:pPr>
            <w:r>
              <w:rPr>
                <w:b/>
                <w:i w:val="0"/>
                <w:sz w:val="19"/>
              </w:rPr>
              <w:t>Kit documents</w:t>
            </w:r>
          </w:p>
        </w:tc>
        <w:tc>
          <w:tcPr>
            <w:tcW w:type="dxa" w:w="2436"/>
            <w:shd w:val="clear" w:color="auto" w:fill="EEF3F8"/>
          </w:tcPr>
          <w:p>
            <w:pPr>
              <w:spacing w:after="40"/>
            </w:pPr>
            <w:r>
              <w:rPr>
                <w:b/>
                <w:i w:val="0"/>
                <w:sz w:val="19"/>
              </w:rPr>
              <w:t>Registers and records</w:t>
            </w:r>
          </w:p>
        </w:tc>
      </w:tr>
      <w:tr>
        <w:tc>
          <w:tcPr>
            <w:tcW w:type="dxa" w:w="2436"/>
          </w:tcPr>
          <w:p>
            <w:pPr>
              <w:spacing w:after="40"/>
            </w:pPr>
            <w:r>
              <w:rPr>
                <w:b w:val="0"/>
                <w:i w:val="0"/>
                <w:sz w:val="19"/>
              </w:rPr>
              <w:t>P1.1</w:t>
            </w:r>
          </w:p>
        </w:tc>
        <w:tc>
          <w:tcPr>
            <w:tcW w:type="dxa" w:w="2436"/>
          </w:tcPr>
          <w:p>
            <w:pPr>
              <w:spacing w:after="40"/>
            </w:pPr>
            <w:r>
              <w:rPr>
                <w:b w:val="0"/>
                <w:i w:val="0"/>
                <w:sz w:val="19"/>
              </w:rPr>
              <w:t>Individuals are told how their personal information is handled.</w:t>
            </w:r>
          </w:p>
        </w:tc>
        <w:tc>
          <w:tcPr>
            <w:tcW w:type="dxa" w:w="2436"/>
          </w:tcPr>
          <w:p>
            <w:pPr>
              <w:spacing w:after="40"/>
            </w:pPr>
            <w:r>
              <w:rPr>
                <w:b w:val="0"/>
                <w:i w:val="0"/>
                <w:sz w:val="19"/>
              </w:rPr>
              <w:t>PIMS-PRO-05, GDPR-TPL-01, GDPR-TPL-02</w:t>
            </w:r>
          </w:p>
        </w:tc>
        <w:tc>
          <w:tcPr>
            <w:tcW w:type="dxa" w:w="2436"/>
          </w:tcPr>
          <w:p>
            <w:pPr>
              <w:spacing w:after="40"/>
            </w:pPr>
            <w:r>
              <w:rPr>
                <w:b w:val="0"/>
                <w:i w:val="0"/>
                <w:sz w:val="19"/>
              </w:rPr>
              <w:t>PIMS-REG-04</w:t>
            </w:r>
          </w:p>
        </w:tc>
      </w:tr>
      <w:tr>
        <w:tc>
          <w:tcPr>
            <w:tcW w:type="dxa" w:w="2436"/>
          </w:tcPr>
          <w:p>
            <w:pPr>
              <w:spacing w:after="40"/>
            </w:pPr>
            <w:r>
              <w:rPr>
                <w:b w:val="0"/>
                <w:i w:val="0"/>
                <w:sz w:val="19"/>
              </w:rPr>
              <w:t>P2.1</w:t>
            </w:r>
          </w:p>
        </w:tc>
        <w:tc>
          <w:tcPr>
            <w:tcW w:type="dxa" w:w="2436"/>
          </w:tcPr>
          <w:p>
            <w:pPr>
              <w:spacing w:after="40"/>
            </w:pPr>
            <w:r>
              <w:rPr>
                <w:b w:val="0"/>
                <w:i w:val="0"/>
                <w:sz w:val="19"/>
              </w:rPr>
              <w:t>Individuals are offered choices, and consent is obtained and recorded where it is the basis.</w:t>
            </w:r>
          </w:p>
        </w:tc>
        <w:tc>
          <w:tcPr>
            <w:tcW w:type="dxa" w:w="2436"/>
          </w:tcPr>
          <w:p>
            <w:pPr>
              <w:spacing w:after="40"/>
            </w:pPr>
            <w:r>
              <w:rPr>
                <w:b w:val="0"/>
                <w:i w:val="0"/>
                <w:sz w:val="19"/>
              </w:rPr>
              <w:t>PIMS-PRO-05, GDPR-TPL-06</w:t>
            </w:r>
          </w:p>
        </w:tc>
        <w:tc>
          <w:tcPr>
            <w:tcW w:type="dxa" w:w="2436"/>
          </w:tcPr>
          <w:p>
            <w:pPr>
              <w:spacing w:after="40"/>
            </w:pPr>
            <w:r>
              <w:rPr>
                <w:b w:val="0"/>
                <w:i w:val="0"/>
                <w:sz w:val="19"/>
              </w:rPr>
              <w:t>PIMS-REG-04</w:t>
            </w:r>
          </w:p>
        </w:tc>
      </w:tr>
      <w:tr>
        <w:tc>
          <w:tcPr>
            <w:tcW w:type="dxa" w:w="2436"/>
          </w:tcPr>
          <w:p>
            <w:pPr>
              <w:spacing w:after="40"/>
            </w:pPr>
            <w:r>
              <w:rPr>
                <w:b w:val="0"/>
                <w:i w:val="0"/>
                <w:sz w:val="19"/>
              </w:rPr>
              <w:t>P3.1</w:t>
            </w:r>
          </w:p>
        </w:tc>
        <w:tc>
          <w:tcPr>
            <w:tcW w:type="dxa" w:w="2436"/>
          </w:tcPr>
          <w:p>
            <w:pPr>
              <w:spacing w:after="40"/>
            </w:pPr>
            <w:r>
              <w:rPr>
                <w:b w:val="0"/>
                <w:i w:val="0"/>
                <w:sz w:val="19"/>
              </w:rPr>
              <w:t>Personal information is collected only for the purposes stated and by fair and lawful means.</w:t>
            </w:r>
          </w:p>
        </w:tc>
        <w:tc>
          <w:tcPr>
            <w:tcW w:type="dxa" w:w="2436"/>
          </w:tcPr>
          <w:p>
            <w:pPr>
              <w:spacing w:after="40"/>
            </w:pPr>
            <w:r>
              <w:rPr>
                <w:b w:val="0"/>
                <w:i w:val="0"/>
                <w:sz w:val="19"/>
              </w:rPr>
              <w:t>PIMS-PRO-06, GDPR-PRO-01</w:t>
            </w:r>
          </w:p>
        </w:tc>
        <w:tc>
          <w:tcPr>
            <w:tcW w:type="dxa" w:w="2436"/>
          </w:tcPr>
          <w:p>
            <w:pPr>
              <w:spacing w:after="40"/>
            </w:pPr>
            <w:r>
              <w:rPr>
                <w:b w:val="0"/>
                <w:i w:val="0"/>
                <w:sz w:val="19"/>
              </w:rPr>
              <w:t>PIMS-REG-01</w:t>
            </w:r>
          </w:p>
        </w:tc>
      </w:tr>
      <w:tr>
        <w:tc>
          <w:tcPr>
            <w:tcW w:type="dxa" w:w="2436"/>
          </w:tcPr>
          <w:p>
            <w:pPr>
              <w:spacing w:after="40"/>
            </w:pPr>
            <w:r>
              <w:rPr>
                <w:b w:val="0"/>
                <w:i w:val="0"/>
                <w:sz w:val="19"/>
              </w:rPr>
              <w:t>P3.2</w:t>
            </w:r>
          </w:p>
        </w:tc>
        <w:tc>
          <w:tcPr>
            <w:tcW w:type="dxa" w:w="2436"/>
          </w:tcPr>
          <w:p>
            <w:pPr>
              <w:spacing w:after="40"/>
            </w:pPr>
            <w:r>
              <w:rPr>
                <w:b w:val="0"/>
                <w:i w:val="0"/>
                <w:sz w:val="19"/>
              </w:rPr>
              <w:t>Sensitive personal information is collected only with explicit consent or another explicit basis.</w:t>
            </w:r>
          </w:p>
        </w:tc>
        <w:tc>
          <w:tcPr>
            <w:tcW w:type="dxa" w:w="2436"/>
          </w:tcPr>
          <w:p>
            <w:pPr>
              <w:spacing w:after="40"/>
            </w:pPr>
            <w:r>
              <w:rPr>
                <w:b w:val="0"/>
                <w:i w:val="0"/>
                <w:sz w:val="19"/>
              </w:rPr>
              <w:t>PIMS-PRO-05, GDPR-TPL-06</w:t>
            </w:r>
          </w:p>
        </w:tc>
        <w:tc>
          <w:tcPr>
            <w:tcW w:type="dxa" w:w="2436"/>
          </w:tcPr>
          <w:p>
            <w:pPr>
              <w:spacing w:after="40"/>
            </w:pPr>
            <w:r>
              <w:rPr>
                <w:b w:val="0"/>
                <w:i w:val="0"/>
                <w:sz w:val="19"/>
              </w:rPr>
              <w:t>PIMS-REG-04, PIMS-REG-01</w:t>
            </w:r>
          </w:p>
        </w:tc>
      </w:tr>
      <w:tr>
        <w:tc>
          <w:tcPr>
            <w:tcW w:type="dxa" w:w="2436"/>
          </w:tcPr>
          <w:p>
            <w:pPr>
              <w:spacing w:after="40"/>
            </w:pPr>
            <w:r>
              <w:rPr>
                <w:b w:val="0"/>
                <w:i w:val="0"/>
                <w:sz w:val="19"/>
              </w:rPr>
              <w:t>P4.1</w:t>
            </w:r>
          </w:p>
        </w:tc>
        <w:tc>
          <w:tcPr>
            <w:tcW w:type="dxa" w:w="2436"/>
          </w:tcPr>
          <w:p>
            <w:pPr>
              <w:spacing w:after="40"/>
            </w:pPr>
            <w:r>
              <w:rPr>
                <w:b w:val="0"/>
                <w:i w:val="0"/>
                <w:sz w:val="19"/>
              </w:rPr>
              <w:t>Personal information is used only for the purposes stated in the notice or consented to.</w:t>
            </w:r>
          </w:p>
        </w:tc>
        <w:tc>
          <w:tcPr>
            <w:tcW w:type="dxa" w:w="2436"/>
          </w:tcPr>
          <w:p>
            <w:pPr>
              <w:spacing w:after="40"/>
            </w:pPr>
            <w:r>
              <w:rPr>
                <w:b w:val="0"/>
                <w:i w:val="0"/>
                <w:sz w:val="19"/>
              </w:rPr>
              <w:t>PIMS-POL-01, GDPR-TPL-07</w:t>
            </w:r>
          </w:p>
        </w:tc>
        <w:tc>
          <w:tcPr>
            <w:tcW w:type="dxa" w:w="2436"/>
          </w:tcPr>
          <w:p>
            <w:pPr>
              <w:spacing w:after="40"/>
            </w:pPr>
            <w:r>
              <w:rPr>
                <w:b w:val="0"/>
                <w:i w:val="0"/>
                <w:sz w:val="19"/>
              </w:rPr>
              <w:t>PIMS-REG-01, GDPR-REG-03</w:t>
            </w:r>
          </w:p>
        </w:tc>
      </w:tr>
      <w:tr>
        <w:tc>
          <w:tcPr>
            <w:tcW w:type="dxa" w:w="2436"/>
          </w:tcPr>
          <w:p>
            <w:pPr>
              <w:spacing w:after="40"/>
            </w:pPr>
            <w:r>
              <w:rPr>
                <w:b w:val="0"/>
                <w:i w:val="0"/>
                <w:sz w:val="19"/>
              </w:rPr>
              <w:t>P4.2</w:t>
            </w:r>
          </w:p>
        </w:tc>
        <w:tc>
          <w:tcPr>
            <w:tcW w:type="dxa" w:w="2436"/>
          </w:tcPr>
          <w:p>
            <w:pPr>
              <w:spacing w:after="40"/>
            </w:pPr>
            <w:r>
              <w:rPr>
                <w:b w:val="0"/>
                <w:i w:val="0"/>
                <w:sz w:val="19"/>
              </w:rPr>
              <w:t>Personal information is kept only as long as the stated purposes require.</w:t>
            </w:r>
          </w:p>
        </w:tc>
        <w:tc>
          <w:tcPr>
            <w:tcW w:type="dxa" w:w="2436"/>
          </w:tcPr>
          <w:p>
            <w:pPr>
              <w:spacing w:after="40"/>
            </w:pPr>
            <w:r>
              <w:rPr>
                <w:b w:val="0"/>
                <w:i w:val="0"/>
                <w:sz w:val="19"/>
              </w:rPr>
              <w:t>PIMS-POL-02</w:t>
            </w:r>
          </w:p>
        </w:tc>
        <w:tc>
          <w:tcPr>
            <w:tcW w:type="dxa" w:w="2436"/>
          </w:tcPr>
          <w:p>
            <w:pPr>
              <w:spacing w:after="40"/>
            </w:pPr>
            <w:r>
              <w:rPr>
                <w:b w:val="0"/>
                <w:i w:val="0"/>
                <w:sz w:val="19"/>
              </w:rPr>
              <w:t>PIMS-REG-07</w:t>
            </w:r>
          </w:p>
        </w:tc>
      </w:tr>
      <w:tr>
        <w:tc>
          <w:tcPr>
            <w:tcW w:type="dxa" w:w="2436"/>
          </w:tcPr>
          <w:p>
            <w:pPr>
              <w:spacing w:after="40"/>
            </w:pPr>
            <w:r>
              <w:rPr>
                <w:b w:val="0"/>
                <w:i w:val="0"/>
                <w:sz w:val="19"/>
              </w:rPr>
              <w:t>P4.3</w:t>
            </w:r>
          </w:p>
        </w:tc>
        <w:tc>
          <w:tcPr>
            <w:tcW w:type="dxa" w:w="2436"/>
          </w:tcPr>
          <w:p>
            <w:pPr>
              <w:spacing w:after="40"/>
            </w:pPr>
            <w:r>
              <w:rPr>
                <w:b w:val="0"/>
                <w:i w:val="0"/>
                <w:sz w:val="19"/>
              </w:rPr>
              <w:t>Personal information is destroyed securely when no longer needed.</w:t>
            </w:r>
          </w:p>
        </w:tc>
        <w:tc>
          <w:tcPr>
            <w:tcW w:type="dxa" w:w="2436"/>
          </w:tcPr>
          <w:p>
            <w:pPr>
              <w:spacing w:after="40"/>
            </w:pPr>
            <w:r>
              <w:rPr>
                <w:b w:val="0"/>
                <w:i w:val="0"/>
                <w:sz w:val="19"/>
              </w:rPr>
              <w:t>PIMS-POL-02, GOV-PRO-16</w:t>
            </w:r>
          </w:p>
        </w:tc>
        <w:tc>
          <w:tcPr>
            <w:tcW w:type="dxa" w:w="2436"/>
          </w:tcPr>
          <w:p>
            <w:pPr>
              <w:spacing w:after="40"/>
            </w:pPr>
            <w:r>
              <w:rPr>
                <w:b w:val="0"/>
                <w:i w:val="0"/>
                <w:sz w:val="19"/>
              </w:rPr>
              <w:t>GOV-REG-20, PIMS-REG-07</w:t>
            </w:r>
          </w:p>
        </w:tc>
      </w:tr>
      <w:tr>
        <w:tc>
          <w:tcPr>
            <w:tcW w:type="dxa" w:w="2436"/>
          </w:tcPr>
          <w:p>
            <w:pPr>
              <w:spacing w:after="40"/>
            </w:pPr>
            <w:r>
              <w:rPr>
                <w:b w:val="0"/>
                <w:i w:val="0"/>
                <w:sz w:val="19"/>
              </w:rPr>
              <w:t>P5.1</w:t>
            </w:r>
          </w:p>
        </w:tc>
        <w:tc>
          <w:tcPr>
            <w:tcW w:type="dxa" w:w="2436"/>
          </w:tcPr>
          <w:p>
            <w:pPr>
              <w:spacing w:after="40"/>
            </w:pPr>
            <w:r>
              <w:rPr>
                <w:b w:val="0"/>
                <w:i w:val="0"/>
                <w:sz w:val="19"/>
              </w:rPr>
              <w:t>Individuals can obtain access to their personal information after their identity is confirmed.</w:t>
            </w:r>
          </w:p>
        </w:tc>
        <w:tc>
          <w:tcPr>
            <w:tcW w:type="dxa" w:w="2436"/>
          </w:tcPr>
          <w:p>
            <w:pPr>
              <w:spacing w:after="40"/>
            </w:pPr>
            <w:r>
              <w:rPr>
                <w:b w:val="0"/>
                <w:i w:val="0"/>
                <w:sz w:val="19"/>
              </w:rPr>
              <w:t>PIMS-PRO-03, GDPR-TPL-05</w:t>
            </w:r>
          </w:p>
        </w:tc>
        <w:tc>
          <w:tcPr>
            <w:tcW w:type="dxa" w:w="2436"/>
          </w:tcPr>
          <w:p>
            <w:pPr>
              <w:spacing w:after="40"/>
            </w:pPr>
            <w:r>
              <w:rPr>
                <w:b w:val="0"/>
                <w:i w:val="0"/>
                <w:sz w:val="19"/>
              </w:rPr>
              <w:t>PIMS-REG-02</w:t>
            </w:r>
          </w:p>
        </w:tc>
      </w:tr>
      <w:tr>
        <w:tc>
          <w:tcPr>
            <w:tcW w:type="dxa" w:w="2436"/>
          </w:tcPr>
          <w:p>
            <w:pPr>
              <w:spacing w:after="40"/>
            </w:pPr>
            <w:r>
              <w:rPr>
                <w:b w:val="0"/>
                <w:i w:val="0"/>
                <w:sz w:val="19"/>
              </w:rPr>
              <w:t>P5.2</w:t>
            </w:r>
          </w:p>
        </w:tc>
        <w:tc>
          <w:tcPr>
            <w:tcW w:type="dxa" w:w="2436"/>
          </w:tcPr>
          <w:p>
            <w:pPr>
              <w:spacing w:after="40"/>
            </w:pPr>
            <w:r>
              <w:rPr>
                <w:b w:val="0"/>
                <w:i w:val="0"/>
                <w:sz w:val="19"/>
              </w:rPr>
              <w:t>Individuals can have their personal information corrected, and are told the reason when a request is refused.</w:t>
            </w:r>
          </w:p>
        </w:tc>
        <w:tc>
          <w:tcPr>
            <w:tcW w:type="dxa" w:w="2436"/>
          </w:tcPr>
          <w:p>
            <w:pPr>
              <w:spacing w:after="40"/>
            </w:pPr>
            <w:r>
              <w:rPr>
                <w:b w:val="0"/>
                <w:i w:val="0"/>
                <w:sz w:val="19"/>
              </w:rPr>
              <w:t>PIMS-PRO-03, GDPR-TPL-05</w:t>
            </w:r>
          </w:p>
        </w:tc>
        <w:tc>
          <w:tcPr>
            <w:tcW w:type="dxa" w:w="2436"/>
          </w:tcPr>
          <w:p>
            <w:pPr>
              <w:spacing w:after="40"/>
            </w:pPr>
            <w:r>
              <w:rPr>
                <w:b w:val="0"/>
                <w:i w:val="0"/>
                <w:sz w:val="19"/>
              </w:rPr>
              <w:t>PIMS-REG-02</w:t>
            </w:r>
          </w:p>
        </w:tc>
      </w:tr>
      <w:tr>
        <w:tc>
          <w:tcPr>
            <w:tcW w:type="dxa" w:w="2436"/>
          </w:tcPr>
          <w:p>
            <w:pPr>
              <w:spacing w:after="40"/>
            </w:pPr>
            <w:r>
              <w:rPr>
                <w:b w:val="0"/>
                <w:i w:val="0"/>
                <w:sz w:val="19"/>
              </w:rPr>
              <w:t>P6.1</w:t>
            </w:r>
          </w:p>
        </w:tc>
        <w:tc>
          <w:tcPr>
            <w:tcW w:type="dxa" w:w="2436"/>
          </w:tcPr>
          <w:p>
            <w:pPr>
              <w:spacing w:after="40"/>
            </w:pPr>
            <w:r>
              <w:rPr>
                <w:b w:val="0"/>
                <w:i w:val="0"/>
                <w:sz w:val="19"/>
              </w:rPr>
              <w:t>Personal information is disclosed to third parties only as the notice states or with consent.</w:t>
            </w:r>
          </w:p>
        </w:tc>
        <w:tc>
          <w:tcPr>
            <w:tcW w:type="dxa" w:w="2436"/>
          </w:tcPr>
          <w:p>
            <w:pPr>
              <w:spacing w:after="40"/>
            </w:pPr>
            <w:r>
              <w:rPr>
                <w:b w:val="0"/>
                <w:i w:val="0"/>
                <w:sz w:val="19"/>
              </w:rPr>
              <w:t>PIMS-PRO-01, PIMS-POL-03, PIMS-TPL-02</w:t>
            </w:r>
          </w:p>
        </w:tc>
        <w:tc>
          <w:tcPr>
            <w:tcW w:type="dxa" w:w="2436"/>
          </w:tcPr>
          <w:p>
            <w:pPr>
              <w:spacing w:after="40"/>
            </w:pPr>
            <w:r>
              <w:rPr>
                <w:b w:val="0"/>
                <w:i w:val="0"/>
                <w:sz w:val="19"/>
              </w:rPr>
              <w:t>GDPR-REG-02, PIMS-REG-06</w:t>
            </w:r>
          </w:p>
        </w:tc>
      </w:tr>
      <w:tr>
        <w:tc>
          <w:tcPr>
            <w:tcW w:type="dxa" w:w="2436"/>
          </w:tcPr>
          <w:p>
            <w:pPr>
              <w:spacing w:after="40"/>
            </w:pPr>
            <w:r>
              <w:rPr>
                <w:b w:val="0"/>
                <w:i w:val="0"/>
                <w:sz w:val="19"/>
              </w:rPr>
              <w:t>P6.2</w:t>
            </w:r>
          </w:p>
        </w:tc>
        <w:tc>
          <w:tcPr>
            <w:tcW w:type="dxa" w:w="2436"/>
          </w:tcPr>
          <w:p>
            <w:pPr>
              <w:spacing w:after="40"/>
            </w:pPr>
            <w:r>
              <w:rPr>
                <w:b w:val="0"/>
                <w:i w:val="0"/>
                <w:sz w:val="19"/>
              </w:rPr>
              <w:t>A record is kept of authorised disclosures.</w:t>
            </w:r>
          </w:p>
        </w:tc>
        <w:tc>
          <w:tcPr>
            <w:tcW w:type="dxa" w:w="2436"/>
          </w:tcPr>
          <w:p>
            <w:pPr>
              <w:spacing w:after="40"/>
            </w:pPr>
            <w:r>
              <w:rPr>
                <w:b w:val="0"/>
                <w:i w:val="0"/>
                <w:sz w:val="19"/>
              </w:rPr>
              <w:t>GDPR-PRO-01</w:t>
            </w:r>
          </w:p>
        </w:tc>
        <w:tc>
          <w:tcPr>
            <w:tcW w:type="dxa" w:w="2436"/>
          </w:tcPr>
          <w:p>
            <w:pPr>
              <w:spacing w:after="40"/>
            </w:pPr>
            <w:r>
              <w:rPr>
                <w:b w:val="0"/>
                <w:i w:val="0"/>
                <w:sz w:val="19"/>
              </w:rPr>
              <w:t>PIMS-REG-01, GDPR-REG-02</w:t>
            </w:r>
          </w:p>
        </w:tc>
      </w:tr>
      <w:tr>
        <w:tc>
          <w:tcPr>
            <w:tcW w:type="dxa" w:w="2436"/>
          </w:tcPr>
          <w:p>
            <w:pPr>
              <w:spacing w:after="40"/>
            </w:pPr>
            <w:r>
              <w:rPr>
                <w:b w:val="0"/>
                <w:i w:val="0"/>
                <w:sz w:val="19"/>
              </w:rPr>
              <w:t>P6.3</w:t>
            </w:r>
          </w:p>
        </w:tc>
        <w:tc>
          <w:tcPr>
            <w:tcW w:type="dxa" w:w="2436"/>
          </w:tcPr>
          <w:p>
            <w:pPr>
              <w:spacing w:after="40"/>
            </w:pPr>
            <w:r>
              <w:rPr>
                <w:b w:val="0"/>
                <w:i w:val="0"/>
                <w:sz w:val="19"/>
              </w:rPr>
              <w:t>A record is kept of unauthorised disclosures that are detected or reported.</w:t>
            </w:r>
          </w:p>
        </w:tc>
        <w:tc>
          <w:tcPr>
            <w:tcW w:type="dxa" w:w="2436"/>
          </w:tcPr>
          <w:p>
            <w:pPr>
              <w:spacing w:after="40"/>
            </w:pPr>
            <w:r>
              <w:rPr>
                <w:b w:val="0"/>
                <w:i w:val="0"/>
                <w:sz w:val="19"/>
              </w:rPr>
              <w:t>PIMS-PRO-04</w:t>
            </w:r>
          </w:p>
        </w:tc>
        <w:tc>
          <w:tcPr>
            <w:tcW w:type="dxa" w:w="2436"/>
          </w:tcPr>
          <w:p>
            <w:pPr>
              <w:spacing w:after="40"/>
            </w:pPr>
            <w:r>
              <w:rPr>
                <w:b w:val="0"/>
                <w:i w:val="0"/>
                <w:sz w:val="19"/>
              </w:rPr>
              <w:t>PIMS-REG-03</w:t>
            </w:r>
          </w:p>
        </w:tc>
      </w:tr>
      <w:tr>
        <w:tc>
          <w:tcPr>
            <w:tcW w:type="dxa" w:w="2436"/>
          </w:tcPr>
          <w:p>
            <w:pPr>
              <w:spacing w:after="40"/>
            </w:pPr>
            <w:r>
              <w:rPr>
                <w:b w:val="0"/>
                <w:i w:val="0"/>
                <w:sz w:val="19"/>
              </w:rPr>
              <w:t>P6.4</w:t>
            </w:r>
          </w:p>
        </w:tc>
        <w:tc>
          <w:tcPr>
            <w:tcW w:type="dxa" w:w="2436"/>
          </w:tcPr>
          <w:p>
            <w:pPr>
              <w:spacing w:after="40"/>
            </w:pPr>
            <w:r>
              <w:rPr>
                <w:b w:val="0"/>
                <w:i w:val="0"/>
                <w:sz w:val="19"/>
              </w:rPr>
              <w:t>Third parties that receive personal information are bound to protect it.</w:t>
            </w:r>
          </w:p>
        </w:tc>
        <w:tc>
          <w:tcPr>
            <w:tcW w:type="dxa" w:w="2436"/>
          </w:tcPr>
          <w:p>
            <w:pPr>
              <w:spacing w:after="40"/>
            </w:pPr>
            <w:r>
              <w:rPr>
                <w:b w:val="0"/>
                <w:i w:val="0"/>
                <w:sz w:val="19"/>
              </w:rPr>
              <w:t>GOV-PRO-06, PIMS-TPL-02, GDPR-TPL-09</w:t>
            </w:r>
          </w:p>
        </w:tc>
        <w:tc>
          <w:tcPr>
            <w:tcW w:type="dxa" w:w="2436"/>
          </w:tcPr>
          <w:p>
            <w:pPr>
              <w:spacing w:after="40"/>
            </w:pPr>
            <w:r>
              <w:rPr>
                <w:b w:val="0"/>
                <w:i w:val="0"/>
                <w:sz w:val="19"/>
              </w:rPr>
              <w:t>PIMS-REG-06, GOV-REG-07</w:t>
            </w:r>
          </w:p>
        </w:tc>
      </w:tr>
      <w:tr>
        <w:tc>
          <w:tcPr>
            <w:tcW w:type="dxa" w:w="2436"/>
          </w:tcPr>
          <w:p>
            <w:pPr>
              <w:spacing w:after="40"/>
            </w:pPr>
            <w:r>
              <w:rPr>
                <w:b w:val="0"/>
                <w:i w:val="0"/>
                <w:sz w:val="19"/>
              </w:rPr>
              <w:t>P6.5</w:t>
            </w:r>
          </w:p>
        </w:tc>
        <w:tc>
          <w:tcPr>
            <w:tcW w:type="dxa" w:w="2436"/>
          </w:tcPr>
          <w:p>
            <w:pPr>
              <w:spacing w:after="40"/>
            </w:pPr>
            <w:r>
              <w:rPr>
                <w:b w:val="0"/>
                <w:i w:val="0"/>
                <w:sz w:val="19"/>
              </w:rPr>
              <w:t>Third parties must report unauthorised disclosures to the organisation.</w:t>
            </w:r>
          </w:p>
        </w:tc>
        <w:tc>
          <w:tcPr>
            <w:tcW w:type="dxa" w:w="2436"/>
          </w:tcPr>
          <w:p>
            <w:pPr>
              <w:spacing w:after="40"/>
            </w:pPr>
            <w:r>
              <w:rPr>
                <w:b w:val="0"/>
                <w:i w:val="0"/>
                <w:sz w:val="19"/>
              </w:rPr>
              <w:t>GOV-PRO-06, PIMS-TPL-02, PIMS-PRO-04</w:t>
            </w:r>
          </w:p>
        </w:tc>
        <w:tc>
          <w:tcPr>
            <w:tcW w:type="dxa" w:w="2436"/>
          </w:tcPr>
          <w:p>
            <w:pPr>
              <w:spacing w:after="40"/>
            </w:pPr>
            <w:r>
              <w:rPr>
                <w:b w:val="0"/>
                <w:i w:val="0"/>
                <w:sz w:val="19"/>
              </w:rPr>
              <w:t>PIMS-REG-06</w:t>
            </w:r>
          </w:p>
        </w:tc>
      </w:tr>
      <w:tr>
        <w:tc>
          <w:tcPr>
            <w:tcW w:type="dxa" w:w="2436"/>
          </w:tcPr>
          <w:p>
            <w:pPr>
              <w:spacing w:after="40"/>
            </w:pPr>
            <w:r>
              <w:rPr>
                <w:b w:val="0"/>
                <w:i w:val="0"/>
                <w:sz w:val="19"/>
              </w:rPr>
              <w:t>P6.6</w:t>
            </w:r>
          </w:p>
        </w:tc>
        <w:tc>
          <w:tcPr>
            <w:tcW w:type="dxa" w:w="2436"/>
          </w:tcPr>
          <w:p>
            <w:pPr>
              <w:spacing w:after="40"/>
            </w:pPr>
            <w:r>
              <w:rPr>
                <w:b w:val="0"/>
                <w:i w:val="0"/>
                <w:sz w:val="19"/>
              </w:rPr>
              <w:t>Affected individuals and authorities are notified of breaches as required.</w:t>
            </w:r>
          </w:p>
        </w:tc>
        <w:tc>
          <w:tcPr>
            <w:tcW w:type="dxa" w:w="2436"/>
          </w:tcPr>
          <w:p>
            <w:pPr>
              <w:spacing w:after="40"/>
            </w:pPr>
            <w:r>
              <w:rPr>
                <w:b w:val="0"/>
                <w:i w:val="0"/>
                <w:sz w:val="19"/>
              </w:rPr>
              <w:t>PIMS-PRO-04, GDPR-TPL-10</w:t>
            </w:r>
          </w:p>
        </w:tc>
        <w:tc>
          <w:tcPr>
            <w:tcW w:type="dxa" w:w="2436"/>
          </w:tcPr>
          <w:p>
            <w:pPr>
              <w:spacing w:after="40"/>
            </w:pPr>
            <w:r>
              <w:rPr>
                <w:b w:val="0"/>
                <w:i w:val="0"/>
                <w:sz w:val="19"/>
              </w:rPr>
              <w:t>PIMS-REG-03</w:t>
            </w:r>
          </w:p>
        </w:tc>
      </w:tr>
      <w:tr>
        <w:tc>
          <w:tcPr>
            <w:tcW w:type="dxa" w:w="2436"/>
          </w:tcPr>
          <w:p>
            <w:pPr>
              <w:spacing w:after="40"/>
            </w:pPr>
            <w:r>
              <w:rPr>
                <w:b w:val="0"/>
                <w:i w:val="0"/>
                <w:sz w:val="19"/>
              </w:rPr>
              <w:t>P6.7</w:t>
            </w:r>
          </w:p>
        </w:tc>
        <w:tc>
          <w:tcPr>
            <w:tcW w:type="dxa" w:w="2436"/>
          </w:tcPr>
          <w:p>
            <w:pPr>
              <w:spacing w:after="40"/>
            </w:pPr>
            <w:r>
              <w:rPr>
                <w:b w:val="0"/>
                <w:i w:val="0"/>
                <w:sz w:val="19"/>
              </w:rPr>
              <w:t>Individuals can obtain an account of the disclosures of their personal information.</w:t>
            </w:r>
          </w:p>
        </w:tc>
        <w:tc>
          <w:tcPr>
            <w:tcW w:type="dxa" w:w="2436"/>
          </w:tcPr>
          <w:p>
            <w:pPr>
              <w:spacing w:after="40"/>
            </w:pPr>
            <w:r>
              <w:rPr>
                <w:b w:val="0"/>
                <w:i w:val="0"/>
                <w:sz w:val="19"/>
              </w:rPr>
              <w:t>PIMS-PRO-03</w:t>
            </w:r>
          </w:p>
        </w:tc>
        <w:tc>
          <w:tcPr>
            <w:tcW w:type="dxa" w:w="2436"/>
          </w:tcPr>
          <w:p>
            <w:pPr>
              <w:spacing w:after="40"/>
            </w:pPr>
            <w:r>
              <w:rPr>
                <w:b w:val="0"/>
                <w:i w:val="0"/>
                <w:sz w:val="19"/>
              </w:rPr>
              <w:t>PIMS-REG-02, GDPR-REG-02</w:t>
            </w:r>
          </w:p>
        </w:tc>
      </w:tr>
      <w:tr>
        <w:tc>
          <w:tcPr>
            <w:tcW w:type="dxa" w:w="2436"/>
          </w:tcPr>
          <w:p>
            <w:pPr>
              <w:spacing w:after="40"/>
            </w:pPr>
            <w:r>
              <w:rPr>
                <w:b w:val="0"/>
                <w:i w:val="0"/>
                <w:sz w:val="19"/>
              </w:rPr>
              <w:t>P7.1</w:t>
            </w:r>
          </w:p>
        </w:tc>
        <w:tc>
          <w:tcPr>
            <w:tcW w:type="dxa" w:w="2436"/>
          </w:tcPr>
          <w:p>
            <w:pPr>
              <w:spacing w:after="40"/>
            </w:pPr>
            <w:r>
              <w:rPr>
                <w:b w:val="0"/>
                <w:i w:val="0"/>
                <w:sz w:val="19"/>
              </w:rPr>
              <w:t>Personal information is kept accurate, complete and current.</w:t>
            </w:r>
          </w:p>
        </w:tc>
        <w:tc>
          <w:tcPr>
            <w:tcW w:type="dxa" w:w="2436"/>
          </w:tcPr>
          <w:p>
            <w:pPr>
              <w:spacing w:after="40"/>
            </w:pPr>
            <w:r>
              <w:rPr>
                <w:b w:val="0"/>
                <w:i w:val="0"/>
                <w:sz w:val="19"/>
              </w:rPr>
              <w:t>PIMS-PRO-03, GDPR-PRO-02, PIMS-POL-01</w:t>
            </w:r>
          </w:p>
        </w:tc>
        <w:tc>
          <w:tcPr>
            <w:tcW w:type="dxa" w:w="2436"/>
          </w:tcPr>
          <w:p>
            <w:pPr>
              <w:spacing w:after="40"/>
            </w:pPr>
            <w:r>
              <w:rPr>
                <w:b w:val="0"/>
                <w:i w:val="0"/>
                <w:sz w:val="19"/>
              </w:rPr>
              <w:t>PIMS-REG-02</w:t>
            </w:r>
          </w:p>
        </w:tc>
      </w:tr>
      <w:tr>
        <w:tc>
          <w:tcPr>
            <w:tcW w:type="dxa" w:w="2436"/>
          </w:tcPr>
          <w:p>
            <w:pPr>
              <w:spacing w:after="40"/>
            </w:pPr>
            <w:r>
              <w:rPr>
                <w:b w:val="0"/>
                <w:i w:val="0"/>
                <w:sz w:val="19"/>
              </w:rPr>
              <w:t>P8.1</w:t>
            </w:r>
          </w:p>
        </w:tc>
        <w:tc>
          <w:tcPr>
            <w:tcW w:type="dxa" w:w="2436"/>
          </w:tcPr>
          <w:p>
            <w:pPr>
              <w:spacing w:after="40"/>
            </w:pPr>
            <w:r>
              <w:rPr>
                <w:b w:val="0"/>
                <w:i w:val="0"/>
                <w:sz w:val="19"/>
              </w:rPr>
              <w:t>Enquiries, complaints and disputes about privacy are received and resolved, and compliance is monitored.</w:t>
            </w:r>
          </w:p>
        </w:tc>
        <w:tc>
          <w:tcPr>
            <w:tcW w:type="dxa" w:w="2436"/>
          </w:tcPr>
          <w:p>
            <w:pPr>
              <w:spacing w:after="40"/>
            </w:pPr>
            <w:r>
              <w:rPr>
                <w:b w:val="0"/>
                <w:i w:val="0"/>
                <w:sz w:val="19"/>
              </w:rPr>
              <w:t>PIMS-PRO-03, PIMS-PRO-07, GOV-PRO-04</w:t>
            </w:r>
          </w:p>
        </w:tc>
        <w:tc>
          <w:tcPr>
            <w:tcW w:type="dxa" w:w="2436"/>
          </w:tcPr>
          <w:p>
            <w:pPr>
              <w:spacing w:after="40"/>
            </w:pPr>
            <w:r>
              <w:rPr>
                <w:b w:val="0"/>
                <w:i w:val="0"/>
                <w:sz w:val="19"/>
              </w:rPr>
              <w:t>PIMS-REG-02, GOV-REG-03</w:t>
            </w:r>
          </w:p>
        </w:tc>
      </w:tr>
    </w:tbl>
    <w:p/>
    <w:p>
      <w:pPr>
        <w:pStyle w:val="Heading1"/>
      </w:pPr>
      <w:r>
        <w:t>15. Where the kit is thin</w:t>
      </w:r>
    </w:p>
    <w:p>
      <w:r>
        <w:rPr>
          <w:b w:val="0"/>
          <w:i w:val="0"/>
        </w:rPr>
        <w:t>Three themes are carried by general documents rather than dedicated ones, and an organisation may want to add its own. Fraud risk (CC3.3) is a scenario class inside GOV-PRO-05 and a segregation rule inside GOV-PRO-10; an organisation handling payments should add explicit fraud scenarios to GOV-REG-05. Anomaly analysis (CC7.2) rests on GOV-PRO-14's alert triage; a larger operation will want a written triage runbook. Processing specifications (PI1.1) are required by SOC-POL-01 but have no template in the kit; the output and input catalogues in SOC-PRO-03 and SOC-PRO-04 give the headings.</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SOC-GDE-03  |  Guide: Trust Services Criteria mapped to kit documents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