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61A2"/>
          <w:sz w:val="20"/>
        </w:rPr>
        <w:t>GOV-POL-02</w:t>
      </w:r>
    </w:p>
    <w:p>
      <w:r>
        <w:rPr>
          <w:b/>
          <w:color w:val="0B2D4D"/>
          <w:sz w:val="44"/>
        </w:rPr>
        <w:t>Acceptable use policy</w:t>
      </w:r>
    </w:p>
    <w:p>
      <w:r>
        <w:rPr>
          <w:i/>
          <w:color w:val="526478"/>
        </w:rPr>
        <w:t>What everyone who uses [Organisation] devices, accounts, email, internet, cloud services, removable media, personal devices and AI tools may and may not do, how use is monitored, how to report a problem, and how the policy is acknowledged.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GOV-POL-02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Title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Acceptable use policy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Policy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Framework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Cross-framework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Requirements served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ISO/IEC 27001:2022 Annex A 5.10; ISO/IEC 27001:2022 Annex A 6.7; ISO/IEC 27001:2022 Annex A 8.1; SOC 2 CC1.1; SOC 2 CC6.8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Owner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Information Security Manager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Chief Executive Officer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1.0 (template)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Review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Annual</w:t>
            </w:r>
          </w:p>
        </w:tc>
      </w:tr>
    </w:tbl>
    <w:p/>
    <w:p>
      <w:r>
        <w:rPr>
          <w:b/>
          <w:color w:val="0B2D4D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Change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Approved by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First issue from the kit template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[Role]</w:t>
            </w:r>
          </w:p>
        </w:tc>
      </w:tr>
    </w:tbl>
    <w:p/>
    <w:p>
      <w:pPr>
        <w:pStyle w:val="Heading1"/>
      </w:pPr>
      <w:r>
        <w:t>1. Purpose</w:t>
      </w:r>
    </w:p>
    <w:p>
      <w:r>
        <w:rPr>
          <w:b w:val="0"/>
          <w:i w:val="0"/>
        </w:rPr>
        <w:t>This policy tells everyone who uses [Organisation] information, devices, accounts and services what they may and may not do with them, so that ordinary daily work does not become the way an attacker gets in or information gets out.</w:t>
      </w:r>
    </w:p>
    <w:p>
      <w:pPr>
        <w:pStyle w:val="Heading1"/>
      </w:pPr>
      <w:r>
        <w:t>2. Scope</w:t>
      </w:r>
    </w:p>
    <w:p>
      <w:r>
        <w:rPr>
          <w:b w:val="0"/>
          <w:i w:val="0"/>
        </w:rPr>
        <w:t>It applies to employees, contractors, temporary staff, interns and supplier personnel who hold an [Organisation] account or device, at any location, and to personal devices used for work under statement 4.9.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Role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Responsibility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All users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Follow this policy, acknowledge it, report incidents and breaches.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Information Security Manager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Owns the policy, keeps the approved services list, investigates suspected breaches with Human Resources.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IT Manager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Configures devices and services so that the policy can be enforced and evidenced.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Human Resources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Records acknowledgements in GOV-REG-23 and runs the disciplinary process.</w:t>
            </w:r>
          </w:p>
        </w:tc>
      </w:tr>
    </w:tbl>
    <w:p/>
    <w:p>
      <w:pPr>
        <w:pStyle w:val="Heading1"/>
      </w:pPr>
      <w:r>
        <w:t>4. Policy statements</w:t>
      </w:r>
    </w:p>
    <w:p>
      <w:r>
        <w:rPr>
          <w:b w:val="0"/>
          <w:i w:val="0"/>
        </w:rPr>
        <w:t xml:space="preserve">4.1 </w:t>
      </w:r>
      <w:r>
        <w:rPr>
          <w:b/>
        </w:rPr>
        <w:t>Permitted use.</w:t>
      </w:r>
      <w:r>
        <w:rPr>
          <w:b w:val="0"/>
          <w:i w:val="0"/>
        </w:rPr>
        <w:t xml:space="preserve"> [Organisation] information, devices, accounts and services are provided for its business. Limited personal use of internet and email is permitted where it does not interfere with work, break a law or this policy, or expose [Organisation] information.</w:t>
      </w:r>
    </w:p>
    <w:p>
      <w:r>
        <w:rPr>
          <w:b w:val="0"/>
          <w:i w:val="0"/>
        </w:rPr>
        <w:t xml:space="preserve">4.2 </w:t>
      </w:r>
      <w:r>
        <w:rPr>
          <w:b/>
        </w:rPr>
        <w:t>Devices.</w:t>
      </w:r>
      <w:r>
        <w:rPr>
          <w:b w:val="0"/>
          <w:i w:val="0"/>
        </w:rPr>
        <w:t xml:space="preserve"> Users work on devices issued and managed by [Organisation], keep the GOV-PRO-22 controls switched on, install no software outside the approved catalogue without the IT Manager's approval, and hold no administrative rights on their own device.</w:t>
      </w:r>
    </w:p>
    <w:p>
      <w:r>
        <w:rPr>
          <w:b w:val="0"/>
          <w:i w:val="0"/>
        </w:rPr>
        <w:t xml:space="preserve">4.3 </w:t>
      </w:r>
      <w:r>
        <w:rPr>
          <w:b/>
        </w:rPr>
        <w:t>Locking and loss.</w:t>
      </w:r>
      <w:r>
        <w:rPr>
          <w:b w:val="0"/>
          <w:i w:val="0"/>
        </w:rPr>
        <w:t xml:space="preserve"> Users lock their screen whenever they step away and report a lost or stolen device within one hour under GOV-PRO-07.</w:t>
      </w:r>
    </w:p>
    <w:p>
      <w:r>
        <w:rPr>
          <w:b w:val="0"/>
          <w:i w:val="0"/>
        </w:rPr>
        <w:t xml:space="preserve">4.4 </w:t>
      </w:r>
      <w:r>
        <w:rPr>
          <w:b/>
        </w:rPr>
        <w:t>Accounts.</w:t>
      </w:r>
      <w:r>
        <w:rPr>
          <w:b w:val="0"/>
          <w:i w:val="0"/>
        </w:rPr>
        <w:t xml:space="preserve"> Each user uses only accounts issued in their own name, never shares a password, one-time code or signed-in session with anyone, including IT staff, and follows GOV-POL-06.</w:t>
      </w:r>
    </w:p>
    <w:p>
      <w:r>
        <w:rPr>
          <w:b w:val="0"/>
          <w:i w:val="0"/>
        </w:rPr>
        <w:t xml:space="preserve">4.5 </w:t>
      </w:r>
      <w:r>
        <w:rPr>
          <w:b/>
        </w:rPr>
        <w:t>Email and messaging.</w:t>
      </w:r>
      <w:r>
        <w:rPr>
          <w:b w:val="0"/>
          <w:i w:val="0"/>
        </w:rPr>
        <w:t xml:space="preserve"> Users send Confidential and Restricted information only through the channels permitted in GOV-PRO-16, never forward work email or information to a personal account, and report suspected phishing through the report button rather than replying or clicking.</w:t>
      </w:r>
    </w:p>
    <w:p>
      <w:r>
        <w:rPr>
          <w:b w:val="0"/>
          <w:i w:val="0"/>
        </w:rPr>
        <w:t xml:space="preserve">4.6 </w:t>
      </w:r>
      <w:r>
        <w:rPr>
          <w:b/>
        </w:rPr>
        <w:t>Internet.</w:t>
      </w:r>
      <w:r>
        <w:rPr>
          <w:b w:val="0"/>
          <w:i w:val="0"/>
        </w:rPr>
        <w:t xml:space="preserve"> Users do not access or distribute illegal, discriminatory, harassing or sexually explicit material, bypass web filtering or security monitoring, or download software or media from untrusted sources.</w:t>
      </w:r>
    </w:p>
    <w:p>
      <w:r>
        <w:rPr>
          <w:b w:val="0"/>
          <w:i w:val="0"/>
        </w:rPr>
        <w:t xml:space="preserve">4.7 </w:t>
      </w:r>
      <w:r>
        <w:rPr>
          <w:b/>
        </w:rPr>
        <w:t>Cloud services.</w:t>
      </w:r>
      <w:r>
        <w:rPr>
          <w:b w:val="0"/>
          <w:i w:val="0"/>
        </w:rPr>
        <w:t xml:space="preserve"> Users store and process [Organisation] information only in services on the approved list kept by the Information Security Manager; a new service is assessed under GOV-PRO-06 before use. Personal cloud storage, note-taking and messaging services are not used for work information above Public.</w:t>
      </w:r>
    </w:p>
    <w:p>
      <w:r>
        <w:rPr>
          <w:b w:val="0"/>
          <w:i w:val="0"/>
        </w:rPr>
        <w:t xml:space="preserve">4.8 </w:t>
      </w:r>
      <w:r>
        <w:rPr>
          <w:b/>
        </w:rPr>
        <w:t>Removable media.</w:t>
      </w:r>
      <w:r>
        <w:rPr>
          <w:b w:val="0"/>
          <w:i w:val="0"/>
        </w:rPr>
        <w:t xml:space="preserve"> Removable media is used only with the Information Security Manager's written approval of the specific need; approved media is encrypted, issued by the IT Manager, recorded in GOV-REG-24 and disposed of under GOV-PRO-16.</w:t>
      </w:r>
    </w:p>
    <w:p>
      <w:r>
        <w:rPr>
          <w:b w:val="0"/>
          <w:i w:val="0"/>
        </w:rPr>
        <w:t xml:space="preserve">4.9 </w:t>
      </w:r>
      <w:r>
        <w:rPr>
          <w:b/>
        </w:rPr>
        <w:t>Personal devices.</w:t>
      </w:r>
      <w:r>
        <w:rPr>
          <w:b w:val="0"/>
          <w:i w:val="0"/>
        </w:rPr>
        <w:t xml:space="preserve"> A personal phone or computer is used for work only when enrolled in [Organisation]'s device management under GOV-PRO-22, with a passcode, encryption, current updates, [Organisation]'s ability to remove its data, and no Confidential or Restricted information outside the managed applications. Nobody else uses the device while work data is on it.</w:t>
      </w:r>
    </w:p>
    <w:p>
      <w:r>
        <w:rPr>
          <w:b w:val="0"/>
          <w:i w:val="0"/>
        </w:rPr>
        <w:t xml:space="preserve">4.10 </w:t>
      </w:r>
      <w:r>
        <w:rPr>
          <w:b/>
        </w:rPr>
        <w:t>AI tools.</w:t>
      </w:r>
      <w:r>
        <w:rPr>
          <w:b w:val="0"/>
          <w:i w:val="0"/>
        </w:rPr>
        <w:t xml:space="preserve"> Users use AI tools only when approved in AI-REG-04, for the uses listed there, under AI-POL-01. Personal data, customer confidential material, credentials, keys and source code are never entered into such a tool unless the register entry permits it. The user checks any output before relying on it and remains responsible for it.</w:t>
      </w:r>
    </w:p>
    <w:p>
      <w:r>
        <w:rPr>
          <w:b w:val="0"/>
          <w:i w:val="0"/>
        </w:rPr>
        <w:t xml:space="preserve">4.11 </w:t>
      </w:r>
      <w:r>
        <w:rPr>
          <w:b/>
        </w:rPr>
        <w:t>Information handling.</w:t>
      </w:r>
      <w:r>
        <w:rPr>
          <w:b w:val="0"/>
          <w:i w:val="0"/>
        </w:rPr>
        <w:t xml:space="preserve"> Users classify, label, store, share, print and dispose of information under GOV-PRO-16, keep desks and screens clear under GOV-POL-04, and work away from the office under GOV-POL-05.</w:t>
      </w:r>
    </w:p>
    <w:p>
      <w:r>
        <w:rPr>
          <w:b w:val="0"/>
          <w:i w:val="0"/>
        </w:rPr>
        <w:t xml:space="preserve">4.12 </w:t>
      </w:r>
      <w:r>
        <w:rPr>
          <w:b/>
        </w:rPr>
        <w:t>Intellectual property and testing.</w:t>
      </w:r>
      <w:r>
        <w:rPr>
          <w:b w:val="0"/>
          <w:i w:val="0"/>
        </w:rPr>
        <w:t xml:space="preserve"> Users do not copy licensed software or infringe copyright, do not take [Organisation] information, source code or customer data with them when they leave, and do not probe or attempt to defeat any system's security controls unless authorised in writing.</w:t>
      </w:r>
    </w:p>
    <w:p>
      <w:r>
        <w:rPr>
          <w:b w:val="0"/>
          <w:i w:val="0"/>
        </w:rPr>
        <w:t xml:space="preserve">4.13 </w:t>
      </w:r>
      <w:r>
        <w:rPr>
          <w:b/>
        </w:rPr>
        <w:t>Monitoring notice.</w:t>
      </w:r>
      <w:r>
        <w:rPr>
          <w:b w:val="0"/>
          <w:i w:val="0"/>
        </w:rPr>
        <w:t xml:space="preserve"> [Organisation] logs the use of its devices, networks, accounts and services and may inspect that activity to protect security and investigate a suspected breach of policy or law. Monitoring is proportionate, follows GOV-PRO-14 and is described in GDPR-TPL-02. Users have no expectation of privacy on [Organisation] systems beyond what the law requires.</w:t>
      </w:r>
    </w:p>
    <w:p>
      <w:r>
        <w:rPr>
          <w:b w:val="0"/>
          <w:i w:val="0"/>
        </w:rPr>
        <w:t xml:space="preserve">4.14 </w:t>
      </w:r>
      <w:r>
        <w:rPr>
          <w:b/>
        </w:rPr>
        <w:t>Reporting.</w:t>
      </w:r>
      <w:r>
        <w:rPr>
          <w:b w:val="0"/>
          <w:i w:val="0"/>
        </w:rPr>
        <w:t xml:space="preserve"> Users report a suspected incident, mistaken disclosure or policy breach immediately under GOV-PRO-07. Prompt reporting of a mistake is expected; concealing one is itself a breach.</w:t>
      </w:r>
    </w:p>
    <w:p>
      <w:r>
        <w:rPr>
          <w:b w:val="0"/>
          <w:i w:val="0"/>
        </w:rPr>
        <w:t xml:space="preserve">4.15 </w:t>
      </w:r>
      <w:r>
        <w:rPr>
          <w:b/>
        </w:rPr>
        <w:t>Consequences.</w:t>
      </w:r>
      <w:r>
        <w:rPr>
          <w:b w:val="0"/>
          <w:i w:val="0"/>
        </w:rPr>
        <w:t xml:space="preserve"> A breach is handled under the disciplinary process in GOV-PRO-18 and may lead to withdrawal of access, dismissal, contract termination or referral to law enforcement.</w:t>
      </w:r>
    </w:p>
    <w:p>
      <w:r>
        <w:rPr>
          <w:b w:val="0"/>
          <w:i w:val="0"/>
        </w:rPr>
        <w:t xml:space="preserve">4.16 </w:t>
      </w:r>
      <w:r>
        <w:rPr>
          <w:b/>
        </w:rPr>
        <w:t>Acknowledgement.</w:t>
      </w:r>
      <w:r>
        <w:rPr>
          <w:b w:val="0"/>
          <w:i w:val="0"/>
        </w:rPr>
        <w:t xml:space="preserve"> Each user acknowledges this policy at induction, after each material change and yearly thereafter, recorded by Human Resources in GOV-REG-23. Access to Confidential or Restricted information depends on a current acknowledgement.</w:t>
      </w:r>
    </w:p>
    <w:p>
      <w:pPr>
        <w:pStyle w:val="Heading1"/>
      </w:pPr>
      <w:r>
        <w:t>5. Records and evidence</w:t>
      </w:r>
    </w:p>
    <w:p>
      <w:pPr>
        <w:pStyle w:val="ListBullet"/>
      </w:pPr>
      <w:r>
        <w:rPr>
          <w:b w:val="0"/>
          <w:i w:val="0"/>
        </w:rPr>
        <w:t>GOV-REG-23 Policy acknowledgement register.</w:t>
      </w:r>
    </w:p>
    <w:p>
      <w:pPr>
        <w:pStyle w:val="ListBullet"/>
      </w:pPr>
      <w:r>
        <w:rPr>
          <w:b w:val="0"/>
          <w:i w:val="0"/>
        </w:rPr>
        <w:t>The approved services list and AI-REG-04 AI tool approval register.</w:t>
      </w:r>
    </w:p>
    <w:p>
      <w:pPr>
        <w:pStyle w:val="ListBullet"/>
      </w:pPr>
      <w:r>
        <w:rPr>
          <w:b w:val="0"/>
          <w:i w:val="0"/>
        </w:rPr>
        <w:t>Incident reports in GOV-REG-08 and disciplinary records held by Human Resources.</w:t>
      </w:r>
    </w:p>
    <w:p>
      <w:pPr>
        <w:pStyle w:val="Heading1"/>
      </w:pPr>
      <w:r>
        <w:t>6. Exceptions</w:t>
      </w:r>
    </w:p>
    <w:p>
      <w:r>
        <w:rPr>
          <w:b w:val="0"/>
          <w:i w:val="0"/>
        </w:rPr>
        <w:t>Only the Information Security Manager may grant an exception, in writing, for a named person, a stated reason and a fixed period of at most twelve months, recorded under GOV-PRO-24.</w:t>
      </w:r>
    </w:p>
    <w:p>
      <w:pPr>
        <w:pStyle w:val="Heading1"/>
      </w:pPr>
      <w:r>
        <w:t>7. Review and maintenance</w:t>
      </w:r>
    </w:p>
    <w:p>
      <w:r>
        <w:rPr>
          <w:b w:val="0"/>
          <w:i w:val="0"/>
        </w:rPr>
        <w:t>The Information Security Manager reviews this policy annually, after an incident caused by misuse, and when a new class of service or tool comes into use. Changes follow GOV-PRO-01 and trigger re-acknowledgement under 4.16.</w:t>
      </w:r>
    </w:p>
    <w:p>
      <w:pPr>
        <w:pStyle w:val="Heading1"/>
      </w:pPr>
      <w:r>
        <w:t>8. Related documents</w:t>
      </w:r>
    </w:p>
    <w:p>
      <w:pPr>
        <w:pStyle w:val="ListBullet"/>
      </w:pPr>
      <w:r>
        <w:rPr>
          <w:b w:val="0"/>
          <w:i w:val="0"/>
        </w:rPr>
        <w:t>GOV-POL-04 Clear desk and clear screen policy</w:t>
      </w:r>
    </w:p>
    <w:p>
      <w:pPr>
        <w:pStyle w:val="ListBullet"/>
      </w:pPr>
      <w:r>
        <w:rPr>
          <w:b w:val="0"/>
          <w:i w:val="0"/>
        </w:rPr>
        <w:t>GOV-POL-05 Remote and mobile working policy</w:t>
      </w:r>
    </w:p>
    <w:p>
      <w:pPr>
        <w:pStyle w:val="ListBullet"/>
      </w:pPr>
      <w:r>
        <w:rPr>
          <w:b w:val="0"/>
          <w:i w:val="0"/>
        </w:rPr>
        <w:t>GOV-POL-06 Authentication, password and multi-factor policy</w:t>
      </w:r>
    </w:p>
    <w:p>
      <w:pPr>
        <w:pStyle w:val="ListBullet"/>
      </w:pPr>
      <w:r>
        <w:rPr>
          <w:b w:val="0"/>
          <w:i w:val="0"/>
        </w:rPr>
        <w:t>GOV-PRO-16 Asset management, classification and handling procedure</w:t>
      </w:r>
    </w:p>
    <w:p>
      <w:pPr>
        <w:pStyle w:val="ListBullet"/>
      </w:pPr>
      <w:r>
        <w:rPr>
          <w:b w:val="0"/>
          <w:i w:val="0"/>
        </w:rPr>
        <w:t>GOV-PRO-18 Human resources security procedure</w:t>
      </w:r>
    </w:p>
    <w:p>
      <w:pPr>
        <w:pStyle w:val="ListBullet"/>
      </w:pPr>
      <w:r>
        <w:rPr>
          <w:b w:val="0"/>
          <w:i w:val="0"/>
        </w:rPr>
        <w:t>AI-POL-01 Acceptable use of AI tools policy</w:t>
      </w:r>
    </w:p>
    <w:p/>
    <w:p>
      <w:r>
        <w:rPr>
          <w:i/>
          <w:color w:val="526478"/>
          <w:sz w:val="17"/>
        </w:rPr>
        <w:t>This document is a template from an open documentation kit. Replace every item in square brackets, remove what does not apply, and have the approver sign it before use. A template is not evidence of compliance.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478"/>
        <w:sz w:val="16"/>
      </w:rPr>
      <w:t xml:space="preserve">GOV-POL-02  |  Acceptable use policy  |  Version 1.0  |  Internal  |  Page </w:t>
    </w:r>
    <w:r>
      <w:rPr>
        <w:color w:val="526478"/>
        <w:sz w:val="16"/>
      </w:rPr>
      <w:fldChar w:fldCharType="begin"/>
    </w:r>
    <w:r>
      <w:rPr>
        <w:color w:val="526478"/>
        <w:sz w:val="16"/>
      </w:rPr>
      <w:instrText xml:space="preserve">PAGE</w:instrText>
    </w:r>
    <w:r>
      <w:rPr>
        <w:color w:val="52647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