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GOV-POL-04</w:t>
      </w:r>
    </w:p>
    <w:p>
      <w:r>
        <w:rPr>
          <w:b/>
          <w:color w:val="0B2D4D"/>
          <w:sz w:val="44"/>
        </w:rPr>
        <w:t>Clear desk and clear screen policy</w:t>
      </w:r>
    </w:p>
    <w:p>
      <w:r>
        <w:rPr>
          <w:i/>
          <w:color w:val="526478"/>
        </w:rPr>
        <w:t>The rules that keep information off unattended desks, screens, printers, whiteboards and shared spaces, in the office and at home, and how compliance is checked.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GOV-POL-04</w:t>
            </w:r>
          </w:p>
        </w:tc>
      </w:tr>
      <w:tr>
        <w:tc>
          <w:tcPr>
            <w:tcW w:type="dxa" w:w="2551"/>
            <w:shd w:val="clear" w:color="auto" w:fill="EEF3F8"/>
          </w:tcPr>
          <w:p>
            <w:pPr>
              <w:spacing w:after="40"/>
            </w:pPr>
            <w:r>
              <w:rPr>
                <w:b/>
                <w:sz w:val="19"/>
              </w:rPr>
              <w:t>Title</w:t>
            </w:r>
          </w:p>
        </w:tc>
        <w:tc>
          <w:tcPr>
            <w:tcW w:type="dxa" w:w="6803"/>
          </w:tcPr>
          <w:p>
            <w:pPr>
              <w:spacing w:after="40"/>
            </w:pPr>
            <w:r>
              <w:rPr>
                <w:sz w:val="19"/>
              </w:rPr>
              <w:t>Clear desk and clear screen policy</w:t>
            </w:r>
          </w:p>
        </w:tc>
      </w:tr>
      <w:tr>
        <w:tc>
          <w:tcPr>
            <w:tcW w:type="dxa" w:w="2551"/>
            <w:shd w:val="clear" w:color="auto" w:fill="EEF3F8"/>
          </w:tcPr>
          <w:p>
            <w:pPr>
              <w:spacing w:after="40"/>
            </w:pPr>
            <w:r>
              <w:rPr>
                <w:b/>
                <w:sz w:val="19"/>
              </w:rPr>
              <w:t>Type</w:t>
            </w:r>
          </w:p>
        </w:tc>
        <w:tc>
          <w:tcPr>
            <w:tcW w:type="dxa" w:w="6803"/>
          </w:tcPr>
          <w:p>
            <w:pPr>
              <w:spacing w:after="40"/>
            </w:pPr>
            <w:r>
              <w:rPr>
                <w:sz w:val="19"/>
              </w:rPr>
              <w:t>Policy</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7.7</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policy prevents information from being read, photographed or taken by anyone who should not see it, simply because it was left on a desk, a screen, a printer or a whiteboard.</w:t>
      </w:r>
    </w:p>
    <w:p>
      <w:pPr>
        <w:pStyle w:val="Heading1"/>
      </w:pPr>
      <w:r>
        <w:t>2. Scope</w:t>
      </w:r>
    </w:p>
    <w:p>
      <w:r>
        <w:rPr>
          <w:b w:val="0"/>
          <w:i w:val="0"/>
        </w:rPr>
        <w:t>It applies to everyone who works for [Organisation], in every office, shared workspace, meeting room, home workplace and public place where work is done, and to paper, screens, whiteboards, removable media and printed output.</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All staff</w:t>
            </w:r>
          </w:p>
        </w:tc>
        <w:tc>
          <w:tcPr>
            <w:tcW w:type="dxa" w:w="4873"/>
          </w:tcPr>
          <w:p>
            <w:pPr>
              <w:spacing w:after="40"/>
            </w:pPr>
            <w:r>
              <w:rPr>
                <w:b w:val="0"/>
                <w:i w:val="0"/>
                <w:sz w:val="19"/>
              </w:rPr>
              <w:t>Apply the statements below every day and leave shared spaces as they found them.</w:t>
            </w:r>
          </w:p>
        </w:tc>
      </w:tr>
      <w:tr>
        <w:tc>
          <w:tcPr>
            <w:tcW w:type="dxa" w:w="4873"/>
          </w:tcPr>
          <w:p>
            <w:pPr>
              <w:spacing w:after="40"/>
            </w:pPr>
            <w:r>
              <w:rPr>
                <w:b w:val="0"/>
                <w:i w:val="0"/>
                <w:sz w:val="19"/>
              </w:rPr>
              <w:t>Line manager</w:t>
            </w:r>
          </w:p>
        </w:tc>
        <w:tc>
          <w:tcPr>
            <w:tcW w:type="dxa" w:w="4873"/>
          </w:tcPr>
          <w:p>
            <w:pPr>
              <w:spacing w:after="40"/>
            </w:pPr>
            <w:r>
              <w:rPr>
                <w:b w:val="0"/>
                <w:i w:val="0"/>
                <w:sz w:val="19"/>
              </w:rPr>
              <w:t>Provides lockable storage for their team and acts on repeat findings.</w:t>
            </w:r>
          </w:p>
        </w:tc>
      </w:tr>
      <w:tr>
        <w:tc>
          <w:tcPr>
            <w:tcW w:type="dxa" w:w="4873"/>
          </w:tcPr>
          <w:p>
            <w:pPr>
              <w:spacing w:after="40"/>
            </w:pPr>
            <w:r>
              <w:rPr>
                <w:b w:val="0"/>
                <w:i w:val="0"/>
                <w:sz w:val="19"/>
              </w:rPr>
              <w:t>Facilities Manager</w:t>
            </w:r>
          </w:p>
        </w:tc>
        <w:tc>
          <w:tcPr>
            <w:tcW w:type="dxa" w:w="4873"/>
          </w:tcPr>
          <w:p>
            <w:pPr>
              <w:spacing w:after="40"/>
            </w:pPr>
            <w:r>
              <w:rPr>
                <w:b w:val="0"/>
                <w:i w:val="0"/>
                <w:sz w:val="19"/>
              </w:rPr>
              <w:t>Provides lockable storage, confidential waste bins and pull printing, and carries out the monthly check with the Information Security Manager.</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Owns the policy, records check results and reports trends to the steering committee.</w:t>
            </w:r>
          </w:p>
        </w:tc>
      </w:tr>
    </w:tbl>
    <w:p/>
    <w:p>
      <w:pPr>
        <w:pStyle w:val="Heading1"/>
      </w:pPr>
      <w:r>
        <w:t>4. Policy statements</w:t>
      </w:r>
    </w:p>
    <w:p>
      <w:r>
        <w:rPr>
          <w:b w:val="0"/>
          <w:i w:val="0"/>
        </w:rPr>
        <w:t xml:space="preserve">4.1 </w:t>
      </w:r>
      <w:r>
        <w:rPr>
          <w:b/>
        </w:rPr>
        <w:t>Screen lock.</w:t>
      </w:r>
      <w:r>
        <w:rPr>
          <w:b w:val="0"/>
          <w:i w:val="0"/>
        </w:rPr>
        <w:t xml:space="preserve"> Every device locks automatically after no more than [Number] minutes of inactivity, and in no case more than ten, and the user locks it manually whenever they leave it, however briefly.</w:t>
      </w:r>
    </w:p>
    <w:p>
      <w:r>
        <w:rPr>
          <w:b w:val="0"/>
          <w:i w:val="0"/>
        </w:rPr>
        <w:t xml:space="preserve">4.2 </w:t>
      </w:r>
      <w:r>
        <w:rPr>
          <w:b/>
        </w:rPr>
        <w:t>Paper and media.</w:t>
      </w:r>
      <w:r>
        <w:rPr>
          <w:b w:val="0"/>
          <w:i w:val="0"/>
        </w:rPr>
        <w:t xml:space="preserve"> Paper and removable media holding Confidential or Restricted information are locked in a drawer or cabinet whenever the desk is unattended and at the end of every day. Keys and access cards are not left in locks or on desks.</w:t>
      </w:r>
    </w:p>
    <w:p>
      <w:r>
        <w:rPr>
          <w:b w:val="0"/>
          <w:i w:val="0"/>
        </w:rPr>
        <w:t xml:space="preserve">4.3 </w:t>
      </w:r>
      <w:r>
        <w:rPr>
          <w:b/>
        </w:rPr>
        <w:t>Credentials.</w:t>
      </w:r>
      <w:r>
        <w:rPr>
          <w:b w:val="0"/>
          <w:i w:val="0"/>
        </w:rPr>
        <w:t xml:space="preserve"> Passwords, PINs, recovery codes and one-time codes are never written on paper, on a whiteboard or in an unprotected file. The approved password manager is the only place they are stored, under GOV-POL-06.</w:t>
      </w:r>
    </w:p>
    <w:p>
      <w:r>
        <w:rPr>
          <w:b w:val="0"/>
          <w:i w:val="0"/>
        </w:rPr>
        <w:t xml:space="preserve">4.4 </w:t>
      </w:r>
      <w:r>
        <w:rPr>
          <w:b/>
        </w:rPr>
        <w:t>Printing.</w:t>
      </w:r>
      <w:r>
        <w:rPr>
          <w:b w:val="0"/>
          <w:i w:val="0"/>
        </w:rPr>
        <w:t xml:space="preserve"> Print jobs are collected immediately. Pull printing is used wherever the device supports it. Anyone who finds an uncollected printout places it in confidential waste. Restricted information is printed only under the conditions in GOV-PRO-16.</w:t>
      </w:r>
    </w:p>
    <w:p>
      <w:r>
        <w:rPr>
          <w:b w:val="0"/>
          <w:i w:val="0"/>
        </w:rPr>
        <w:t xml:space="preserve">4.5 </w:t>
      </w:r>
      <w:r>
        <w:rPr>
          <w:b/>
        </w:rPr>
        <w:t>Whiteboards and meeting rooms.</w:t>
      </w:r>
      <w:r>
        <w:rPr>
          <w:b w:val="0"/>
          <w:i w:val="0"/>
        </w:rPr>
        <w:t xml:space="preserve"> Whiteboards and flip charts are wiped or removed at the end of every meeting. Meeting rooms are left with no papers, media or connected devices, and any shared screen is disconnected.</w:t>
      </w:r>
    </w:p>
    <w:p>
      <w:r>
        <w:rPr>
          <w:b w:val="0"/>
          <w:i w:val="0"/>
        </w:rPr>
        <w:t xml:space="preserve">4.6 </w:t>
      </w:r>
      <w:r>
        <w:rPr>
          <w:b/>
        </w:rPr>
        <w:t>Confidential waste.</w:t>
      </w:r>
      <w:r>
        <w:rPr>
          <w:b w:val="0"/>
          <w:i w:val="0"/>
        </w:rPr>
        <w:t xml:space="preserve"> Paper that holds Internal information or above goes into a locked confidential waste bin or a cross-cut shredder, never into general waste or recycling.</w:t>
      </w:r>
    </w:p>
    <w:p>
      <w:r>
        <w:rPr>
          <w:b w:val="0"/>
          <w:i w:val="0"/>
        </w:rPr>
        <w:t xml:space="preserve">4.7 </w:t>
      </w:r>
      <w:r>
        <w:rPr>
          <w:b/>
        </w:rPr>
        <w:t>Shared and hot desks.</w:t>
      </w:r>
      <w:r>
        <w:rPr>
          <w:b w:val="0"/>
          <w:i w:val="0"/>
        </w:rPr>
        <w:t xml:space="preserve"> A shared desk is cleared completely at the end of each use. Work papers are not stored in unlocked pedestals, trays or lockers.</w:t>
      </w:r>
    </w:p>
    <w:p>
      <w:r>
        <w:rPr>
          <w:b w:val="0"/>
          <w:i w:val="0"/>
        </w:rPr>
        <w:t xml:space="preserve">4.8 </w:t>
      </w:r>
      <w:r>
        <w:rPr>
          <w:b/>
        </w:rPr>
        <w:t>Screen positioning.</w:t>
      </w:r>
      <w:r>
        <w:rPr>
          <w:b w:val="0"/>
          <w:i w:val="0"/>
        </w:rPr>
        <w:t xml:space="preserve"> Screens are positioned so that they cannot be read from windows, corridors or visitor areas. A privacy filter is used on any screen that shows Confidential or Restricted information in a public place or an open area shared with other organisations.</w:t>
      </w:r>
    </w:p>
    <w:p>
      <w:r>
        <w:rPr>
          <w:b w:val="0"/>
          <w:i w:val="0"/>
        </w:rPr>
        <w:t xml:space="preserve">4.9 </w:t>
      </w:r>
      <w:r>
        <w:rPr>
          <w:b/>
        </w:rPr>
        <w:t>Visitors.</w:t>
      </w:r>
      <w:r>
        <w:rPr>
          <w:b w:val="0"/>
          <w:i w:val="0"/>
        </w:rPr>
        <w:t xml:space="preserve"> No Confidential or Restricted material is visible in a room while a visitor is present. A screen shared with a visitor shows only the content the meeting needs, with notifications switched off.</w:t>
      </w:r>
    </w:p>
    <w:p>
      <w:r>
        <w:rPr>
          <w:b w:val="0"/>
          <w:i w:val="0"/>
        </w:rPr>
        <w:t xml:space="preserve">4.10 </w:t>
      </w:r>
      <w:r>
        <w:rPr>
          <w:b/>
        </w:rPr>
        <w:t>Post and deliveries.</w:t>
      </w:r>
      <w:r>
        <w:rPr>
          <w:b w:val="0"/>
          <w:i w:val="0"/>
        </w:rPr>
        <w:t xml:space="preserve"> Incoming post marked Confidential or Restricted is handed unopened to the addressee. Outgoing Confidential post is sealed and tracked.</w:t>
      </w:r>
    </w:p>
    <w:p>
      <w:r>
        <w:rPr>
          <w:b w:val="0"/>
          <w:i w:val="0"/>
        </w:rPr>
        <w:t xml:space="preserve">4.11 </w:t>
      </w:r>
      <w:r>
        <w:rPr>
          <w:b/>
        </w:rPr>
        <w:t>Home working.</w:t>
      </w:r>
      <w:r>
        <w:rPr>
          <w:b w:val="0"/>
          <w:i w:val="0"/>
        </w:rPr>
        <w:t xml:space="preserve"> The same rules apply at home under GOV-POL-05. Work papers are kept in a lockable container, and devices are locked whenever another member of the household could reach them.</w:t>
      </w:r>
    </w:p>
    <w:p>
      <w:r>
        <w:rPr>
          <w:b w:val="0"/>
          <w:i w:val="0"/>
        </w:rPr>
        <w:t xml:space="preserve">4.12 </w:t>
      </w:r>
      <w:r>
        <w:rPr>
          <w:b/>
        </w:rPr>
        <w:t>Checks.</w:t>
      </w:r>
      <w:r>
        <w:rPr>
          <w:b w:val="0"/>
          <w:i w:val="0"/>
        </w:rPr>
        <w:t xml:space="preserve"> The Facilities Manager and the Information Security Manager walk every office area at least monthly outside working hours, record each item found (area, item, classification, action), secure the item and inform its owner. A person with a second finding in twelve months is referred to their line manager, and a third is handled under the disciplinary process in GOV-PRO-18.</w:t>
      </w:r>
    </w:p>
    <w:p>
      <w:r>
        <w:rPr>
          <w:b w:val="0"/>
          <w:i w:val="0"/>
        </w:rPr>
        <w:t xml:space="preserve">4.13 </w:t>
      </w:r>
      <w:r>
        <w:rPr>
          <w:b/>
        </w:rPr>
        <w:t>Acknowledgement.</w:t>
      </w:r>
      <w:r>
        <w:rPr>
          <w:b w:val="0"/>
          <w:i w:val="0"/>
        </w:rPr>
        <w:t xml:space="preserve"> Every person acknowledges this policy at induction and after each change, recorded in GOV-REG-23.</w:t>
      </w:r>
    </w:p>
    <w:p>
      <w:pPr>
        <w:pStyle w:val="Heading1"/>
      </w:pPr>
      <w:r>
        <w:t>5. Records and evidence</w:t>
      </w:r>
    </w:p>
    <w:p>
      <w:pPr>
        <w:pStyle w:val="ListBullet"/>
      </w:pPr>
      <w:r>
        <w:rPr>
          <w:b w:val="0"/>
          <w:i w:val="0"/>
        </w:rPr>
        <w:t>Monthly clear desk check records with findings and actions.</w:t>
      </w:r>
    </w:p>
    <w:p>
      <w:pPr>
        <w:pStyle w:val="ListBullet"/>
      </w:pPr>
      <w:r>
        <w:rPr>
          <w:b w:val="0"/>
          <w:i w:val="0"/>
        </w:rPr>
        <w:t>GOV-REG-23 Policy acknowledgement register.</w:t>
      </w:r>
    </w:p>
    <w:p>
      <w:pPr>
        <w:pStyle w:val="ListBullet"/>
      </w:pPr>
      <w:r>
        <w:rPr>
          <w:b w:val="0"/>
          <w:i w:val="0"/>
        </w:rPr>
        <w:t>Incident reports in GOV-REG-08 where a finding caused an exposure.</w:t>
      </w:r>
    </w:p>
    <w:p>
      <w:pPr>
        <w:pStyle w:val="Heading1"/>
      </w:pPr>
      <w:r>
        <w:t>6. Exceptions</w:t>
      </w:r>
    </w:p>
    <w:p>
      <w:r>
        <w:rPr>
          <w:b w:val="0"/>
          <w:i w:val="0"/>
        </w:rPr>
        <w:t>A team that must keep Confidential paper out during a working session (for example a records review) works in a room that is locked when unattended and clears it at the end of the day. No standing exception applies.</w:t>
      </w:r>
    </w:p>
    <w:p>
      <w:pPr>
        <w:pStyle w:val="Heading1"/>
      </w:pPr>
      <w:r>
        <w:t>7. Review and maintenance</w:t>
      </w:r>
    </w:p>
    <w:p>
      <w:r>
        <w:rPr>
          <w:b w:val="0"/>
          <w:i w:val="0"/>
        </w:rPr>
        <w:t>The Information Security Manager reviews this policy annually, after a move or refit of premises, and after an incident involving exposed paper or screens. Changes follow GOV-PRO-01.</w:t>
      </w:r>
    </w:p>
    <w:p>
      <w:pPr>
        <w:pStyle w:val="Heading1"/>
      </w:pPr>
      <w:r>
        <w:t>8. Related documents</w:t>
      </w:r>
    </w:p>
    <w:p>
      <w:pPr>
        <w:pStyle w:val="ListBullet"/>
      </w:pPr>
      <w:r>
        <w:rPr>
          <w:b w:val="0"/>
          <w:i w:val="0"/>
        </w:rPr>
        <w:t>GOV-POL-02 Acceptable use policy</w:t>
      </w:r>
    </w:p>
    <w:p>
      <w:pPr>
        <w:pStyle w:val="ListBullet"/>
      </w:pPr>
      <w:r>
        <w:rPr>
          <w:b w:val="0"/>
          <w:i w:val="0"/>
        </w:rPr>
        <w:t>GOV-POL-05 Remote and mobile working policy</w:t>
      </w:r>
    </w:p>
    <w:p>
      <w:pPr>
        <w:pStyle w:val="ListBullet"/>
      </w:pPr>
      <w:r>
        <w:rPr>
          <w:b w:val="0"/>
          <w:i w:val="0"/>
        </w:rPr>
        <w:t>GOV-POL-06 Authentication, password and multi-factor policy</w:t>
      </w:r>
    </w:p>
    <w:p>
      <w:pPr>
        <w:pStyle w:val="ListBullet"/>
      </w:pPr>
      <w:r>
        <w:rPr>
          <w:b w:val="0"/>
          <w:i w:val="0"/>
        </w:rPr>
        <w:t>GOV-PRO-16 Asset management, classification and handling procedure</w:t>
      </w:r>
    </w:p>
    <w:p>
      <w:pPr>
        <w:pStyle w:val="ListBullet"/>
      </w:pPr>
      <w:r>
        <w:rPr>
          <w:b w:val="0"/>
          <w:i w:val="0"/>
        </w:rPr>
        <w:t>GOV-PRO-17 Physical and environmental security procedure</w:t>
      </w:r>
    </w:p>
    <w:p>
      <w:pPr>
        <w:pStyle w:val="ListBullet"/>
      </w:pPr>
      <w:r>
        <w:rPr>
          <w:b w:val="0"/>
          <w:i w:val="0"/>
        </w:rPr>
        <w:t>GOV-PRO-18 Human resources security procedure</w:t>
      </w:r>
    </w:p>
    <w:p>
      <w:pPr>
        <w:pStyle w:val="ListBullet"/>
      </w:pPr>
      <w:r>
        <w:rPr>
          <w:b w:val="0"/>
          <w:i w:val="0"/>
        </w:rPr>
        <w:t>GOV-REG-23 Policy acknowledgement register</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GOV-POL-04  |  Clear desk and clear screen policy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