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GOV-POL-05</w:t>
      </w:r>
    </w:p>
    <w:p>
      <w:r>
        <w:rPr>
          <w:b/>
          <w:color w:val="0B2D4D"/>
          <w:sz w:val="44"/>
        </w:rPr>
        <w:t>Remote and mobile working policy</w:t>
      </w:r>
    </w:p>
    <w:p>
      <w:r>
        <w:rPr>
          <w:i/>
          <w:color w:val="526478"/>
        </w:rPr>
        <w:t>The conditions under which [Organisation] staff work from home, while travelling and from other locations, covering devices, networks, physical security, printing, calls, the privacy of household members and incident reporting.</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GOV-POL-05</w:t>
            </w:r>
          </w:p>
        </w:tc>
      </w:tr>
      <w:tr>
        <w:tc>
          <w:tcPr>
            <w:tcW w:type="dxa" w:w="2551"/>
            <w:shd w:val="clear" w:color="auto" w:fill="EEF3F8"/>
          </w:tcPr>
          <w:p>
            <w:pPr>
              <w:spacing w:after="40"/>
            </w:pPr>
            <w:r>
              <w:rPr>
                <w:b/>
                <w:sz w:val="19"/>
              </w:rPr>
              <w:t>Title</w:t>
            </w:r>
          </w:p>
        </w:tc>
        <w:tc>
          <w:tcPr>
            <w:tcW w:type="dxa" w:w="6803"/>
          </w:tcPr>
          <w:p>
            <w:pPr>
              <w:spacing w:after="40"/>
            </w:pPr>
            <w:r>
              <w:rPr>
                <w:sz w:val="19"/>
              </w:rPr>
              <w:t>Remote and mobile working policy</w:t>
            </w:r>
          </w:p>
        </w:tc>
      </w:tr>
      <w:tr>
        <w:tc>
          <w:tcPr>
            <w:tcW w:type="dxa" w:w="2551"/>
            <w:shd w:val="clear" w:color="auto" w:fill="EEF3F8"/>
          </w:tcPr>
          <w:p>
            <w:pPr>
              <w:spacing w:after="40"/>
            </w:pPr>
            <w:r>
              <w:rPr>
                <w:b/>
                <w:sz w:val="19"/>
              </w:rPr>
              <w:t>Type</w:t>
            </w:r>
          </w:p>
        </w:tc>
        <w:tc>
          <w:tcPr>
            <w:tcW w:type="dxa" w:w="6803"/>
          </w:tcPr>
          <w:p>
            <w:pPr>
              <w:spacing w:after="40"/>
            </w:pPr>
            <w:r>
              <w:rPr>
                <w:sz w:val="19"/>
              </w:rPr>
              <w:t>Policy</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Annex A 6.7; ISO/IEC 27001:2022 Annex A 8.1; SOC 2 CC6.6; SOC 2 CC6.7</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policy sets the conditions for working away from [Organisation] premises, so that information receives the same protection at home, in transit and in public places as it does in the office, and so that the people who share those places are not drawn into [Organisation]'s business.</w:t>
      </w:r>
    </w:p>
    <w:p>
      <w:pPr>
        <w:pStyle w:val="Heading1"/>
      </w:pPr>
      <w:r>
        <w:t>2. Scope</w:t>
      </w:r>
    </w:p>
    <w:p>
      <w:r>
        <w:rPr>
          <w:b w:val="0"/>
          <w:i w:val="0"/>
        </w:rPr>
        <w:t>It applies to everyone who works for [Organisation] and performs any work outside its premises, whether regularly from home, occasionally while travelling, or from a co-working space, customer site or other location, on any device that holds or reaches [Organisation] information.</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Remote worker</w:t>
            </w:r>
          </w:p>
        </w:tc>
        <w:tc>
          <w:tcPr>
            <w:tcW w:type="dxa" w:w="4873"/>
          </w:tcPr>
          <w:p>
            <w:pPr>
              <w:spacing w:after="40"/>
            </w:pPr>
            <w:r>
              <w:rPr>
                <w:b w:val="0"/>
                <w:i w:val="0"/>
                <w:sz w:val="19"/>
              </w:rPr>
              <w:t>Meets the conditions below before working remotely and keeps meeting them.</w:t>
            </w:r>
          </w:p>
        </w:tc>
      </w:tr>
      <w:tr>
        <w:tc>
          <w:tcPr>
            <w:tcW w:type="dxa" w:w="4873"/>
          </w:tcPr>
          <w:p>
            <w:pPr>
              <w:spacing w:after="40"/>
            </w:pPr>
            <w:r>
              <w:rPr>
                <w:b w:val="0"/>
                <w:i w:val="0"/>
                <w:sz w:val="19"/>
              </w:rPr>
              <w:t>Line manager</w:t>
            </w:r>
          </w:p>
        </w:tc>
        <w:tc>
          <w:tcPr>
            <w:tcW w:type="dxa" w:w="4873"/>
          </w:tcPr>
          <w:p>
            <w:pPr>
              <w:spacing w:after="40"/>
            </w:pPr>
            <w:r>
              <w:rPr>
                <w:b w:val="0"/>
                <w:i w:val="0"/>
                <w:sz w:val="19"/>
              </w:rPr>
              <w:t>Agrees remote working arrangements and confirms the worker has suitable equipment and storage.</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Owns the policy, confirms home arrangements for Restricted roles, approves working abroad with Human Resources.</w:t>
            </w:r>
          </w:p>
        </w:tc>
      </w:tr>
      <w:tr>
        <w:tc>
          <w:tcPr>
            <w:tcW w:type="dxa" w:w="4873"/>
          </w:tcPr>
          <w:p>
            <w:pPr>
              <w:spacing w:after="40"/>
            </w:pPr>
            <w:r>
              <w:rPr>
                <w:b w:val="0"/>
                <w:i w:val="0"/>
                <w:sz w:val="19"/>
              </w:rPr>
              <w:t>IT Manager</w:t>
            </w:r>
          </w:p>
        </w:tc>
        <w:tc>
          <w:tcPr>
            <w:tcW w:type="dxa" w:w="4873"/>
          </w:tcPr>
          <w:p>
            <w:pPr>
              <w:spacing w:after="40"/>
            </w:pPr>
            <w:r>
              <w:rPr>
                <w:b w:val="0"/>
                <w:i w:val="0"/>
                <w:sz w:val="19"/>
              </w:rPr>
              <w:t>Provides managed devices, the remote access gateway and remote wipe under GOV-PRO-22 and GOV-PRO-21.</w:t>
            </w:r>
          </w:p>
        </w:tc>
      </w:tr>
    </w:tbl>
    <w:p/>
    <w:p>
      <w:pPr>
        <w:pStyle w:val="Heading1"/>
      </w:pPr>
      <w:r>
        <w:t>4. Policy statements</w:t>
      </w:r>
    </w:p>
    <w:p>
      <w:r>
        <w:rPr>
          <w:b w:val="0"/>
          <w:i w:val="0"/>
        </w:rPr>
        <w:t xml:space="preserve">4.1 </w:t>
      </w:r>
      <w:r>
        <w:rPr>
          <w:b/>
        </w:rPr>
        <w:t>Agreement.</w:t>
      </w:r>
      <w:r>
        <w:rPr>
          <w:b w:val="0"/>
          <w:i w:val="0"/>
        </w:rPr>
        <w:t xml:space="preserve"> Remote working is agreed in writing with the line manager. A role that handles Restricted information from home starts only after the Information Security Manager has confirmed that the home workplace meets statements 4.4 and 4.8.</w:t>
      </w:r>
    </w:p>
    <w:p>
      <w:r>
        <w:rPr>
          <w:b w:val="0"/>
          <w:i w:val="0"/>
        </w:rPr>
        <w:t xml:space="preserve">4.2 </w:t>
      </w:r>
      <w:r>
        <w:rPr>
          <w:b/>
        </w:rPr>
        <w:t>Devices.</w:t>
      </w:r>
      <w:r>
        <w:rPr>
          <w:b w:val="0"/>
          <w:i w:val="0"/>
        </w:rPr>
        <w:t xml:space="preserve"> Remote work is done on devices issued and managed by [Organisation] under GOV-PRO-22, or on a personal device enrolled under GOV-POL-02. Nobody other than the assigned user, including family members, uses a device that holds [Organisation] information.</w:t>
      </w:r>
    </w:p>
    <w:p>
      <w:r>
        <w:rPr>
          <w:b w:val="0"/>
          <w:i w:val="0"/>
        </w:rPr>
        <w:t xml:space="preserve">4.3 </w:t>
      </w:r>
      <w:r>
        <w:rPr>
          <w:b/>
        </w:rPr>
        <w:t>Connections.</w:t>
      </w:r>
      <w:r>
        <w:rPr>
          <w:b w:val="0"/>
          <w:i w:val="0"/>
        </w:rPr>
        <w:t xml:space="preserve"> Access from outside [Organisation] premises goes through the remote access gateway with multi-factor authentication under GOV-PRO-21. Public or shared wireless networks are used only with the gateway active. A home router has its default administrator password changed, current firmware and current wireless encryption. Shared or public computers are never used for work.</w:t>
      </w:r>
    </w:p>
    <w:p>
      <w:r>
        <w:rPr>
          <w:b w:val="0"/>
          <w:i w:val="0"/>
        </w:rPr>
        <w:t xml:space="preserve">4.4 </w:t>
      </w:r>
      <w:r>
        <w:rPr>
          <w:b/>
        </w:rPr>
        <w:t>Physical security at home.</w:t>
      </w:r>
      <w:r>
        <w:rPr>
          <w:b w:val="0"/>
          <w:i w:val="0"/>
        </w:rPr>
        <w:t xml:space="preserve"> The worker chooses a space where the screen cannot be seen through a window or by visitors, locks the device whenever leaving it, and stores devices and papers in a lockable drawer or cabinet when not in use. Devices are never left in a vehicle.</w:t>
      </w:r>
    </w:p>
    <w:p>
      <w:r>
        <w:rPr>
          <w:b w:val="0"/>
          <w:i w:val="0"/>
        </w:rPr>
        <w:t xml:space="preserve">4.5 </w:t>
      </w:r>
      <w:r>
        <w:rPr>
          <w:b/>
        </w:rPr>
        <w:t>Travel.</w:t>
      </w:r>
      <w:r>
        <w:rPr>
          <w:b w:val="0"/>
          <w:i w:val="0"/>
        </w:rPr>
        <w:t xml:space="preserve"> Devices travel as hand luggage and are never left unattended. A privacy filter is used in public places. Restricted information is not worked on in public, and Confidential matters are not discussed where they can be overheard. At a border crossing the worker carries only the data the trip needs; if a device is inspected or taken out of sight, the worker reports it on arrival under GOV-PRO-07 so that credentials can be rotated and the device checked.</w:t>
      </w:r>
    </w:p>
    <w:p>
      <w:r>
        <w:rPr>
          <w:b w:val="0"/>
          <w:i w:val="0"/>
        </w:rPr>
        <w:t xml:space="preserve">4.6 </w:t>
      </w:r>
      <w:r>
        <w:rPr>
          <w:b/>
        </w:rPr>
        <w:t>Working from another country.</w:t>
      </w:r>
      <w:r>
        <w:rPr>
          <w:b w:val="0"/>
          <w:i w:val="0"/>
        </w:rPr>
        <w:t xml:space="preserve"> Working from outside the country of employment for more than [Number] days in a year needs written approval from Human Resources and the Information Security Manager, because of data transfer rules under PIMS-POL-03, employment and tax law, and systems restricted by country.</w:t>
      </w:r>
    </w:p>
    <w:p>
      <w:r>
        <w:rPr>
          <w:b w:val="0"/>
          <w:i w:val="0"/>
        </w:rPr>
        <w:t xml:space="preserve">4.7 </w:t>
      </w:r>
      <w:r>
        <w:rPr>
          <w:b/>
        </w:rPr>
        <w:t>Printing and paper.</w:t>
      </w:r>
      <w:r>
        <w:rPr>
          <w:b w:val="0"/>
          <w:i w:val="0"/>
        </w:rPr>
        <w:t xml:space="preserve"> Printing away from the office is avoided. Where unavoidable, Confidential information is printed only from the managed device, collected immediately, stored locked, and cross-cut shredded or returned to the office confidential waste. Restricted information is never printed away from the office. Work paper never goes into household waste.</w:t>
      </w:r>
    </w:p>
    <w:p>
      <w:r>
        <w:rPr>
          <w:b w:val="0"/>
          <w:i w:val="0"/>
        </w:rPr>
        <w:t xml:space="preserve">4.8 </w:t>
      </w:r>
      <w:r>
        <w:rPr>
          <w:b/>
        </w:rPr>
        <w:t>Calls and video.</w:t>
      </w:r>
      <w:r>
        <w:rPr>
          <w:b w:val="0"/>
          <w:i w:val="0"/>
        </w:rPr>
        <w:t xml:space="preserve"> Confidential conversations take place where others cannot overhear, using headphones. Smart speakers and voice assistants are switched off or removed from the room during Confidential calls. The camera background shows no work information. Calls are recorded only with the participants' consent.</w:t>
      </w:r>
    </w:p>
    <w:p>
      <w:r>
        <w:rPr>
          <w:b w:val="0"/>
          <w:i w:val="0"/>
        </w:rPr>
        <w:t xml:space="preserve">4.9 </w:t>
      </w:r>
      <w:r>
        <w:rPr>
          <w:b/>
        </w:rPr>
        <w:t>Privacy of household members.</w:t>
      </w:r>
      <w:r>
        <w:rPr>
          <w:b w:val="0"/>
          <w:i w:val="0"/>
        </w:rPr>
        <w:t xml:space="preserve"> [Organisation]'s device management reads device status and work applications only and, on a personal device, no personal content. Monitoring is limited to what GOV-POL-02 describes. The worker does not record household members' personal data in work systems, and cameras are not required in a private space when audio is sufficient.</w:t>
      </w:r>
    </w:p>
    <w:p>
      <w:r>
        <w:rPr>
          <w:b w:val="0"/>
          <w:i w:val="0"/>
        </w:rPr>
        <w:t xml:space="preserve">4.10 </w:t>
      </w:r>
      <w:r>
        <w:rPr>
          <w:b/>
        </w:rPr>
        <w:t>Mobile phones.</w:t>
      </w:r>
      <w:r>
        <w:rPr>
          <w:b w:val="0"/>
          <w:i w:val="0"/>
        </w:rPr>
        <w:t xml:space="preserve"> Work accounts are used on a phone only inside the managed profile, with a passcode or biometric lock and automatic locking.</w:t>
      </w:r>
    </w:p>
    <w:p>
      <w:r>
        <w:rPr>
          <w:b w:val="0"/>
          <w:i w:val="0"/>
        </w:rPr>
        <w:t xml:space="preserve">4.11 </w:t>
      </w:r>
      <w:r>
        <w:rPr>
          <w:b/>
        </w:rPr>
        <w:t>Incident reporting.</w:t>
      </w:r>
      <w:r>
        <w:rPr>
          <w:b w:val="0"/>
          <w:i w:val="0"/>
        </w:rPr>
        <w:t xml:space="preserve"> A lost or stolen device, a suspected compromise, a mistaken disclosure, an inspection of a device by an authority, or access to work data by a household member is reported within one hour under GOV-PRO-07. [Organisation] may wipe the device remotely and the worker cooperates with the response.</w:t>
      </w:r>
    </w:p>
    <w:p>
      <w:r>
        <w:rPr>
          <w:b w:val="0"/>
          <w:i w:val="0"/>
        </w:rPr>
        <w:t xml:space="preserve">4.12 </w:t>
      </w:r>
      <w:r>
        <w:rPr>
          <w:b/>
        </w:rPr>
        <w:t>Equipment.</w:t>
      </w:r>
      <w:r>
        <w:rPr>
          <w:b w:val="0"/>
          <w:i w:val="0"/>
        </w:rPr>
        <w:t xml:space="preserve"> Equipment issued for remote working stays assigned to the worker in GOV-REG-24, is not modified or lent, and is returned on request and on leaving under GOV-PRO-16.</w:t>
      </w:r>
    </w:p>
    <w:p>
      <w:r>
        <w:rPr>
          <w:b w:val="0"/>
          <w:i w:val="0"/>
        </w:rPr>
        <w:t xml:space="preserve">4.13 </w:t>
      </w:r>
      <w:r>
        <w:rPr>
          <w:b/>
        </w:rPr>
        <w:t>Acknowledgement.</w:t>
      </w:r>
      <w:r>
        <w:rPr>
          <w:b w:val="0"/>
          <w:i w:val="0"/>
        </w:rPr>
        <w:t xml:space="preserve"> Before first working remotely the worker acknowledges this policy, recorded in GOV-REG-23.</w:t>
      </w:r>
    </w:p>
    <w:p>
      <w:pPr>
        <w:pStyle w:val="Heading1"/>
      </w:pPr>
      <w:r>
        <w:t>5. Records and evidence</w:t>
      </w:r>
    </w:p>
    <w:p>
      <w:pPr>
        <w:pStyle w:val="ListBullet"/>
      </w:pPr>
      <w:r>
        <w:rPr>
          <w:b w:val="0"/>
          <w:i w:val="0"/>
        </w:rPr>
        <w:t>Written remote working agreements held by Human Resources.</w:t>
      </w:r>
    </w:p>
    <w:p>
      <w:pPr>
        <w:pStyle w:val="ListBullet"/>
      </w:pPr>
      <w:r>
        <w:rPr>
          <w:b w:val="0"/>
          <w:i w:val="0"/>
        </w:rPr>
        <w:t>GOV-REG-23 Policy acknowledgement register.</w:t>
      </w:r>
    </w:p>
    <w:p>
      <w:pPr>
        <w:pStyle w:val="ListBullet"/>
      </w:pPr>
      <w:r>
        <w:rPr>
          <w:b w:val="0"/>
          <w:i w:val="0"/>
        </w:rPr>
        <w:t>GOV-REG-24 entries for equipment assigned to remote workers.</w:t>
      </w:r>
    </w:p>
    <w:p>
      <w:pPr>
        <w:pStyle w:val="ListBullet"/>
      </w:pPr>
      <w:r>
        <w:rPr>
          <w:b w:val="0"/>
          <w:i w:val="0"/>
        </w:rPr>
        <w:t>Approvals for working from another country.</w:t>
      </w:r>
    </w:p>
    <w:p>
      <w:pPr>
        <w:pStyle w:val="ListBullet"/>
      </w:pPr>
      <w:r>
        <w:rPr>
          <w:b w:val="0"/>
          <w:i w:val="0"/>
        </w:rPr>
        <w:t>Incident reports in GOV-REG-08.</w:t>
      </w:r>
    </w:p>
    <w:p>
      <w:pPr>
        <w:pStyle w:val="Heading1"/>
      </w:pPr>
      <w:r>
        <w:t>6. Exceptions</w:t>
      </w:r>
    </w:p>
    <w:p>
      <w:r>
        <w:rPr>
          <w:b w:val="0"/>
          <w:i w:val="0"/>
        </w:rPr>
        <w:t>An exception to statements 4.2, 4.3 or 4.7 is granted only by the Information Security Manager in writing, for a named person and a fixed period, and recorded under GOV-PRO-24.</w:t>
      </w:r>
    </w:p>
    <w:p>
      <w:pPr>
        <w:pStyle w:val="Heading1"/>
      </w:pPr>
      <w:r>
        <w:t>7. Review and maintenance</w:t>
      </w:r>
    </w:p>
    <w:p>
      <w:r>
        <w:rPr>
          <w:b w:val="0"/>
          <w:i w:val="0"/>
        </w:rPr>
        <w:t>The Information Security Manager reviews this policy annually, after an incident involving remote or mobile working, and after a change to the remote access technology. Changes follow GOV-PRO-01.</w:t>
      </w:r>
    </w:p>
    <w:p>
      <w:pPr>
        <w:pStyle w:val="Heading1"/>
      </w:pPr>
      <w:r>
        <w:t>8. Related documents</w:t>
      </w:r>
    </w:p>
    <w:p>
      <w:pPr>
        <w:pStyle w:val="ListBullet"/>
      </w:pPr>
      <w:r>
        <w:rPr>
          <w:b w:val="0"/>
          <w:i w:val="0"/>
        </w:rPr>
        <w:t>GOV-POL-02 Acceptable use policy</w:t>
      </w:r>
    </w:p>
    <w:p>
      <w:pPr>
        <w:pStyle w:val="ListBullet"/>
      </w:pPr>
      <w:r>
        <w:rPr>
          <w:b w:val="0"/>
          <w:i w:val="0"/>
        </w:rPr>
        <w:t>GOV-POL-04 Clear desk and clear screen policy</w:t>
      </w:r>
    </w:p>
    <w:p>
      <w:pPr>
        <w:pStyle w:val="ListBullet"/>
      </w:pPr>
      <w:r>
        <w:rPr>
          <w:b w:val="0"/>
          <w:i w:val="0"/>
        </w:rPr>
        <w:t>GOV-PRO-16 Asset management, classification and handling procedure</w:t>
      </w:r>
    </w:p>
    <w:p>
      <w:pPr>
        <w:pStyle w:val="ListBullet"/>
      </w:pPr>
      <w:r>
        <w:rPr>
          <w:b w:val="0"/>
          <w:i w:val="0"/>
        </w:rPr>
        <w:t>GOV-PRO-21 Network security and remote access procedure</w:t>
      </w:r>
    </w:p>
    <w:p>
      <w:pPr>
        <w:pStyle w:val="ListBullet"/>
      </w:pPr>
      <w:r>
        <w:rPr>
          <w:b w:val="0"/>
          <w:i w:val="0"/>
        </w:rPr>
        <w:t>GOV-PRO-22 Endpoint and mobile device security procedure</w:t>
      </w:r>
    </w:p>
    <w:p>
      <w:pPr>
        <w:pStyle w:val="ListBullet"/>
      </w:pPr>
      <w:r>
        <w:rPr>
          <w:b w:val="0"/>
          <w:i w:val="0"/>
        </w:rPr>
        <w:t>GOV-PRO-07 Information security incident management procedure</w:t>
      </w:r>
    </w:p>
    <w:p>
      <w:pPr>
        <w:pStyle w:val="ListBullet"/>
      </w:pPr>
      <w:r>
        <w:rPr>
          <w:b w:val="0"/>
          <w:i w:val="0"/>
        </w:rPr>
        <w:t>PIMS-POL-03 International transfer policy</w:t>
      </w:r>
    </w:p>
    <w:p>
      <w:pPr>
        <w:pStyle w:val="ListBullet"/>
      </w:pPr>
      <w:r>
        <w:rPr>
          <w:b w:val="0"/>
          <w:i w:val="0"/>
        </w:rPr>
        <w:t>GOV-REG-23 Policy acknowledgement register</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GOV-POL-05  |  Remote and mobile working policy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