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661A2"/>
          <w:sz w:val="20"/>
        </w:rPr>
        <w:t>GOV-TPL-02</w:t>
      </w:r>
    </w:p>
    <w:p>
      <w:r>
        <w:rPr>
          <w:b/>
          <w:color w:val="0B2D4D"/>
          <w:sz w:val="44"/>
        </w:rPr>
        <w:t>Corrective action request form</w:t>
      </w:r>
    </w:p>
    <w:p>
      <w:r>
        <w:rPr>
          <w:i/>
          <w:color w:val="526478"/>
        </w:rPr>
        <w:t>The single form that follows a nonconformity from the moment it is raised, through correction, root cause analysis and corrective action, to verification of effectiveness and closure, as required by GOV-PRO-04.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6803"/>
      </w:tblGrid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Document ID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GOV-TPL-02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Title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Corrective action request form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Type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Template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Framework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Cross-framework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Requirements served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ISO/IEC 27001:2022 clause 10.1; ISO/IEC 27001:2022 clause 10.2; SOC 2 CC4.2; SOC 2 CC5.3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Owner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Approver (role)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Information Security Manager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Classification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Internal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1.0 (template)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</w:tr>
      <w:tr>
        <w:tc>
          <w:tcPr>
            <w:tcW w:type="dxa" w:w="2551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Review</w:t>
            </w:r>
          </w:p>
        </w:tc>
        <w:tc>
          <w:tcPr>
            <w:tcW w:type="dxa" w:w="6803"/>
          </w:tcPr>
          <w:p>
            <w:pPr>
              <w:spacing w:after="40"/>
            </w:pPr>
            <w:r>
              <w:rPr>
                <w:sz w:val="19"/>
              </w:rPr>
              <w:t>Annual</w:t>
            </w:r>
          </w:p>
        </w:tc>
      </w:tr>
    </w:tbl>
    <w:p/>
    <w:p>
      <w:r>
        <w:rPr>
          <w:b/>
          <w:color w:val="0B2D4D"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Date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Change</w:t>
            </w:r>
          </w:p>
        </w:tc>
        <w:tc>
          <w:tcPr>
            <w:tcW w:type="dxa" w:w="2436"/>
            <w:shd w:val="clear" w:color="auto" w:fill="EEF3F8"/>
          </w:tcPr>
          <w:p>
            <w:pPr>
              <w:spacing w:after="40"/>
            </w:pPr>
            <w:r>
              <w:rPr>
                <w:b/>
                <w:sz w:val="19"/>
              </w:rPr>
              <w:t>Approved by</w:t>
            </w:r>
          </w:p>
        </w:tc>
      </w:tr>
      <w:tr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1.0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[Date]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First issue from the kit template</w:t>
            </w:r>
          </w:p>
        </w:tc>
        <w:tc>
          <w:tcPr>
            <w:tcW w:type="dxa" w:w="2436"/>
          </w:tcPr>
          <w:p>
            <w:pPr>
              <w:spacing w:after="40"/>
            </w:pPr>
            <w:r>
              <w:rPr>
                <w:sz w:val="19"/>
              </w:rPr>
              <w:t>[Role]</w:t>
            </w:r>
          </w:p>
        </w:tc>
      </w:tr>
    </w:tbl>
    <w:p/>
    <w:p>
      <w:r>
        <w:rPr>
          <w:i/>
        </w:rPr>
        <w:t>Guidance notes are in italics. One form per nonconformity. The reference is assigned by the Information Security Manager from GOV-REG-03. Attach evidence rather than describing it.</w:t>
      </w:r>
    </w:p>
    <w:p>
      <w:pPr>
        <w:pStyle w:val="Heading1"/>
      </w:pPr>
      <w:r>
        <w:t>1. Corrective action request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Reference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[CAR ID from GOV-REG-03]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Source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[Internal audit, External audit, Incident, Management review, Complaint, Monitoring, Supplier review, Other]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Source reference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[Audit ID, incident ID, review date or complaint reference]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Raised by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Date raised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Grade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[Major, Minor, Observation, Opportunity]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Area, system or process affected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[Text]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Statement of nonconformity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What was observed, where and when. State facts, not opinions. One nonconformity per form.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Evidence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Record identifiers, screenshots, log extracts or interview notes that show the nonconformity. Attach, do not paraphrase.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Requirement breached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The clause, control, criterion or kit document statement, quoted by reference, for example GOV-PRO-10 step 4.6 or ISO/IEC 27001:2022 Annex A 5.18.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Personal data involved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[Yes or No]. </w:t>
            </w:r>
            <w:r>
              <w:rPr>
                <w:i/>
                <w:sz w:val="19"/>
              </w:rPr>
              <w:t>If Yes, the Privacy Officer co-owns this form and decides whether PIMS-PRO-04 applies.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Action owner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Immediate correction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What was done to contain the problem and restore the control. Within five working days for a major, twenty for a minor.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Correction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Corrective action required?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[Yes or No]. </w:t>
            </w:r>
            <w:r>
              <w:rPr>
                <w:i/>
                <w:sz w:val="19"/>
              </w:rPr>
              <w:t>Reasons: could it recur, has it occurred before, could the same cause exist elsewhere, what would recurrence cost. A major always requires corrective action.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Root cause analysis method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[Five whys, Fishbone, Other]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Root cause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The cause the organisation can act on. "Human error" is not a root cause; say why the error was possible and not caught.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Same cause elsewhere?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[Yes or No]. </w:t>
            </w:r>
            <w:r>
              <w:rPr>
                <w:i/>
                <w:sz w:val="19"/>
              </w:rPr>
              <w:t>If Yes, list the linked GOV-REG-03 references raised for the other areas.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Corrective action plan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Numbered actions. For each: what, who, by when, resources needed. Due within thirty days of raising for a major, ninety for a minor, unless an extension is approved below.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Plan owner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Due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Extension approved by and reason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[Role], [Date], [Reason] or "none"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Documents and risks updated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Kit document IDs changed under GOV-PRO-01 and GOV-REG-05 risk IDs updated.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Implementation evidence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Attach evidence for each completed action, with dates.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Implementation complete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</w:tbl>
    <w:p/>
    <w:p>
      <w:pPr>
        <w:pStyle w:val="Heading1"/>
      </w:pPr>
      <w:r>
        <w:t>2. Verification of effectiveness</w:t>
      </w:r>
    </w:p>
    <w:p>
      <w:r>
        <w:rPr>
          <w:i/>
        </w:rPr>
        <w:t>Performed by someone other than the action owner, after at least ninety days of operation or three operating cycles.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Verifier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[Name], [Role]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Verification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Method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i/>
                <w:sz w:val="19"/>
              </w:rPr>
              <w:t>Records sampled (population and sample size), interviews held, configuration or output inspected.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Has the nonconformity recurred?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No], with evidence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Does the control now operate as intended?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[Yes or No], with evidence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Result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[Effective, Not effective]. </w:t>
            </w:r>
            <w:r>
              <w:rPr>
                <w:i/>
                <w:sz w:val="19"/>
              </w:rPr>
              <w:t>Not effective returns the form to root cause analysis.</w:t>
            </w:r>
          </w:p>
        </w:tc>
      </w:tr>
    </w:tbl>
    <w:p/>
    <w:p>
      <w:pPr>
        <w:pStyle w:val="Heading1"/>
      </w:pPr>
      <w:r>
        <w:t>3. Closure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Field</w:t>
            </w:r>
          </w:p>
        </w:tc>
        <w:tc>
          <w:tcPr>
            <w:tcW w:type="dxa" w:w="4873"/>
            <w:shd w:val="clear" w:color="auto" w:fill="EEF3F8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Entry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Closed by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[Name], [Role]. </w:t>
            </w:r>
            <w:r>
              <w:rPr>
                <w:i/>
                <w:sz w:val="19"/>
              </w:rPr>
              <w:t>Information Security Manager for a minor, executive sponsor for a major.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Closure date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[Date]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Signature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[Signature]</w:t>
            </w:r>
          </w:p>
        </w:tc>
      </w:tr>
      <w:tr>
        <w:tc>
          <w:tcPr>
            <w:tcW w:type="dxa" w:w="4873"/>
          </w:tcPr>
          <w:p>
            <w:pPr>
              <w:spacing w:after="40"/>
            </w:pPr>
            <w:r>
              <w:rPr>
                <w:b/>
                <w:sz w:val="19"/>
              </w:rPr>
              <w:t>GOV-REG-03 status set to</w:t>
            </w:r>
          </w:p>
        </w:tc>
        <w:tc>
          <w:tcPr>
            <w:tcW w:type="dxa" w:w="487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Closed</w:t>
            </w:r>
          </w:p>
        </w:tc>
      </w:tr>
    </w:tbl>
    <w:p/>
    <w:p>
      <w:pPr>
        <w:pStyle w:val="Heading1"/>
      </w:pPr>
      <w:r>
        <w:t>4. Related documents</w:t>
      </w:r>
    </w:p>
    <w:p>
      <w:pPr>
        <w:pStyle w:val="ListBullet"/>
      </w:pPr>
      <w:r>
        <w:rPr>
          <w:b w:val="0"/>
          <w:i w:val="0"/>
        </w:rPr>
        <w:t>GOV-PRO-04 Nonconformity and corrective action procedure</w:t>
      </w:r>
    </w:p>
    <w:p>
      <w:pPr>
        <w:pStyle w:val="ListBullet"/>
      </w:pPr>
      <w:r>
        <w:rPr>
          <w:b w:val="0"/>
          <w:i w:val="0"/>
        </w:rPr>
        <w:t>GOV-REG-03 Corrective action log</w:t>
      </w:r>
    </w:p>
    <w:p>
      <w:pPr>
        <w:pStyle w:val="ListBullet"/>
      </w:pPr>
      <w:r>
        <w:rPr>
          <w:b w:val="0"/>
          <w:i w:val="0"/>
        </w:rPr>
        <w:t>GOV-PRO-02 Internal audit procedure</w:t>
      </w:r>
    </w:p>
    <w:p>
      <w:pPr>
        <w:pStyle w:val="ListBullet"/>
      </w:pPr>
      <w:r>
        <w:rPr>
          <w:b w:val="0"/>
          <w:i w:val="0"/>
        </w:rPr>
        <w:t>GOV-TPL-01 Internal audit report template</w:t>
      </w:r>
    </w:p>
    <w:p>
      <w:pPr>
        <w:pStyle w:val="ListBullet"/>
      </w:pPr>
      <w:r>
        <w:rPr>
          <w:b w:val="0"/>
          <w:i w:val="0"/>
        </w:rPr>
        <w:t>PIMS-PRO-04 Personal data breach assessment and notification procedure</w:t>
      </w:r>
    </w:p>
    <w:p/>
    <w:p>
      <w:r>
        <w:rPr>
          <w:i/>
          <w:color w:val="526478"/>
          <w:sz w:val="17"/>
        </w:rPr>
        <w:t>This document is a template from an open documentation kit. Replace every item in square brackets, remove what does not apply, and have the approver sign it before use. A template is not evidence of compliance.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26478"/>
        <w:sz w:val="16"/>
      </w:rPr>
      <w:t xml:space="preserve">GOV-TPL-02  |  Corrective action request form  |  Version 1.0  |  Internal  |  Page </w:t>
    </w:r>
    <w:r>
      <w:rPr>
        <w:color w:val="526478"/>
        <w:sz w:val="16"/>
      </w:rPr>
      <w:fldChar w:fldCharType="begin"/>
    </w:r>
    <w:r>
      <w:rPr>
        <w:color w:val="526478"/>
        <w:sz w:val="16"/>
      </w:rPr>
      <w:instrText xml:space="preserve">PAGE</w:instrText>
    </w:r>
    <w:r>
      <w:rPr>
        <w:color w:val="526478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0B2D4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