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GDPR-TPL-04</w:t>
      </w:r>
    </w:p>
    <w:p>
      <w:r>
        <w:rPr>
          <w:b/>
          <w:color w:val="0B2D4D"/>
          <w:sz w:val="44"/>
        </w:rPr>
        <w:t>Cookie and tracking technologies notice template</w:t>
      </w:r>
    </w:p>
    <w:p>
      <w:r>
        <w:rPr>
          <w:i/>
          <w:color w:val="526478"/>
        </w:rPr>
        <w:t>The public notice for cookies, local storage, pixels and software development kits, with the categories table, how consent is collected and withdrawn, and the link to the inventory in GDPR-REG-04 that keeps it true.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GDPR-TPL-04</w:t>
            </w:r>
          </w:p>
        </w:tc>
      </w:tr>
      <w:tr>
        <w:tc>
          <w:tcPr>
            <w:tcW w:type="dxa" w:w="2551"/>
            <w:shd w:val="clear" w:color="auto" w:fill="EEF3F8"/>
          </w:tcPr>
          <w:p>
            <w:pPr>
              <w:spacing w:after="40"/>
            </w:pPr>
            <w:r>
              <w:rPr>
                <w:b/>
                <w:sz w:val="19"/>
              </w:rPr>
              <w:t>Title</w:t>
            </w:r>
          </w:p>
        </w:tc>
        <w:tc>
          <w:tcPr>
            <w:tcW w:type="dxa" w:w="6803"/>
          </w:tcPr>
          <w:p>
            <w:pPr>
              <w:spacing w:after="40"/>
            </w:pPr>
            <w:r>
              <w:rPr>
                <w:sz w:val="19"/>
              </w:rPr>
              <w:t>Cookie and tracking technologies notice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6; GDPR Article 7; GDPR Article 13; ISO/IEC 27701 Annex A 7.2.3</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Public</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and are removed before publication. The ePrivacy rules require consent before any storage or reading on a device that is not strictly necessary for a service the person asked for; GDPR sets the standard of that consent. This notice is generated from GDPR-REG-04: every tracker in the inventory appears in the table below, and nothing appears here that is not in the inventory. The Privacy Officer re-runs the site scan and reconciles the table at least quarterly and before every release that adds a script, tag or SDK.</w:t>
      </w:r>
    </w:p>
    <w:p>
      <w:pPr>
        <w:pStyle w:val="Heading1"/>
      </w:pPr>
      <w:r>
        <w:t>1. What this notice covers</w:t>
      </w:r>
    </w:p>
    <w:p>
      <w:r>
        <w:rPr>
          <w:b w:val="0"/>
          <w:i w:val="0"/>
        </w:rPr>
        <w:t>This notice explains the cookies and similar technologies we use on [website or application], what they do, and how you can control them. "Similar technologies" means anything that stores or reads information on your device: local storage, pixels and web beacons, software development kits in our mobile applications, and scripts that read device characteristics.</w:t>
      </w:r>
    </w:p>
    <w:p>
      <w:pPr>
        <w:pStyle w:val="Heading1"/>
      </w:pPr>
      <w:r>
        <w:t>2. The categories we use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Category</w:t>
            </w:r>
          </w:p>
        </w:tc>
        <w:tc>
          <w:tcPr>
            <w:tcW w:type="dxa" w:w="3249"/>
            <w:shd w:val="clear" w:color="auto" w:fill="EEF3F8"/>
          </w:tcPr>
          <w:p>
            <w:pPr>
              <w:spacing w:after="40"/>
            </w:pPr>
            <w:r>
              <w:rPr>
                <w:b/>
                <w:i w:val="0"/>
                <w:sz w:val="19"/>
              </w:rPr>
              <w:t>What it does</w:t>
            </w:r>
          </w:p>
        </w:tc>
        <w:tc>
          <w:tcPr>
            <w:tcW w:type="dxa" w:w="3249"/>
            <w:shd w:val="clear" w:color="auto" w:fill="EEF3F8"/>
          </w:tcPr>
          <w:p>
            <w:pPr>
              <w:spacing w:after="40"/>
            </w:pPr>
            <w:r>
              <w:rPr>
                <w:b/>
                <w:i w:val="0"/>
                <w:sz w:val="19"/>
              </w:rPr>
              <w:t>Consent</w:t>
            </w:r>
          </w:p>
        </w:tc>
      </w:tr>
      <w:tr>
        <w:tc>
          <w:tcPr>
            <w:tcW w:type="dxa" w:w="3249"/>
          </w:tcPr>
          <w:p>
            <w:pPr>
              <w:spacing w:after="40"/>
            </w:pPr>
            <w:r>
              <w:rPr>
                <w:b w:val="0"/>
                <w:i w:val="0"/>
                <w:sz w:val="19"/>
              </w:rPr>
              <w:t>Strictly necessary</w:t>
            </w:r>
          </w:p>
        </w:tc>
        <w:tc>
          <w:tcPr>
            <w:tcW w:type="dxa" w:w="3249"/>
          </w:tcPr>
          <w:p>
            <w:pPr>
              <w:spacing w:after="40"/>
            </w:pPr>
            <w:r>
              <w:rPr>
                <w:b w:val="0"/>
                <w:i w:val="0"/>
                <w:sz w:val="19"/>
              </w:rPr>
              <w:t>Lets the site work: keeping you signed in, remembering your consent choice, protecting against attacks, balancing load</w:t>
            </w:r>
          </w:p>
        </w:tc>
        <w:tc>
          <w:tcPr>
            <w:tcW w:type="dxa" w:w="3249"/>
          </w:tcPr>
          <w:p>
            <w:pPr>
              <w:spacing w:after="40"/>
            </w:pPr>
            <w:r>
              <w:rPr>
                <w:b w:val="0"/>
                <w:i w:val="0"/>
                <w:sz w:val="19"/>
              </w:rPr>
              <w:t>Not required; you cannot switch these off</w:t>
            </w:r>
          </w:p>
        </w:tc>
      </w:tr>
      <w:tr>
        <w:tc>
          <w:tcPr>
            <w:tcW w:type="dxa" w:w="3249"/>
          </w:tcPr>
          <w:p>
            <w:pPr>
              <w:spacing w:after="40"/>
            </w:pPr>
            <w:r>
              <w:rPr>
                <w:b w:val="0"/>
                <w:i w:val="0"/>
                <w:sz w:val="19"/>
              </w:rPr>
              <w:t>Functional</w:t>
            </w:r>
          </w:p>
        </w:tc>
        <w:tc>
          <w:tcPr>
            <w:tcW w:type="dxa" w:w="3249"/>
          </w:tcPr>
          <w:p>
            <w:pPr>
              <w:spacing w:after="40"/>
            </w:pPr>
            <w:r>
              <w:rPr>
                <w:b w:val="0"/>
                <w:i w:val="0"/>
                <w:sz w:val="19"/>
              </w:rPr>
              <w:t>Remembers choices you make, such as language or display settings</w:t>
            </w:r>
          </w:p>
        </w:tc>
        <w:tc>
          <w:tcPr>
            <w:tcW w:type="dxa" w:w="3249"/>
          </w:tcPr>
          <w:p>
            <w:pPr>
              <w:spacing w:after="40"/>
            </w:pPr>
            <w:r>
              <w:rPr>
                <w:b w:val="0"/>
                <w:i w:val="0"/>
                <w:sz w:val="19"/>
              </w:rPr>
              <w:t xml:space="preserve">Required </w:t>
            </w:r>
            <w:r>
              <w:rPr>
                <w:i/>
                <w:sz w:val="19"/>
              </w:rPr>
              <w:t>(or "Not required" where the choice was explicitly requested by the user and the storage serves only that choice)</w:t>
            </w:r>
          </w:p>
        </w:tc>
      </w:tr>
      <w:tr>
        <w:tc>
          <w:tcPr>
            <w:tcW w:type="dxa" w:w="3249"/>
          </w:tcPr>
          <w:p>
            <w:pPr>
              <w:spacing w:after="40"/>
            </w:pPr>
            <w:r>
              <w:rPr>
                <w:b w:val="0"/>
                <w:i w:val="0"/>
                <w:sz w:val="19"/>
              </w:rPr>
              <w:t>Analytics</w:t>
            </w:r>
          </w:p>
        </w:tc>
        <w:tc>
          <w:tcPr>
            <w:tcW w:type="dxa" w:w="3249"/>
          </w:tcPr>
          <w:p>
            <w:pPr>
              <w:spacing w:after="40"/>
            </w:pPr>
            <w:r>
              <w:rPr>
                <w:b w:val="0"/>
                <w:i w:val="0"/>
                <w:sz w:val="19"/>
              </w:rPr>
              <w:t>Measures how the site is used so that we can improve it</w:t>
            </w:r>
          </w:p>
        </w:tc>
        <w:tc>
          <w:tcPr>
            <w:tcW w:type="dxa" w:w="3249"/>
          </w:tcPr>
          <w:p>
            <w:pPr>
              <w:spacing w:after="40"/>
            </w:pPr>
            <w:r>
              <w:rPr>
                <w:b w:val="0"/>
                <w:i w:val="0"/>
                <w:sz w:val="19"/>
              </w:rPr>
              <w:t>Required</w:t>
            </w:r>
          </w:p>
        </w:tc>
      </w:tr>
      <w:tr>
        <w:tc>
          <w:tcPr>
            <w:tcW w:type="dxa" w:w="3249"/>
          </w:tcPr>
          <w:p>
            <w:pPr>
              <w:spacing w:after="40"/>
            </w:pPr>
            <w:r>
              <w:rPr>
                <w:b w:val="0"/>
                <w:i w:val="0"/>
                <w:sz w:val="19"/>
              </w:rPr>
              <w:t>Advertising</w:t>
            </w:r>
          </w:p>
        </w:tc>
        <w:tc>
          <w:tcPr>
            <w:tcW w:type="dxa" w:w="3249"/>
          </w:tcPr>
          <w:p>
            <w:pPr>
              <w:spacing w:after="40"/>
            </w:pPr>
            <w:r>
              <w:rPr>
                <w:b w:val="0"/>
                <w:i w:val="0"/>
                <w:sz w:val="19"/>
              </w:rPr>
              <w:t>Builds a profile of your interests and shows you advertising on our site and elsewhere, including measuring whether advertising worked</w:t>
            </w:r>
          </w:p>
        </w:tc>
        <w:tc>
          <w:tcPr>
            <w:tcW w:type="dxa" w:w="3249"/>
          </w:tcPr>
          <w:p>
            <w:pPr>
              <w:spacing w:after="40"/>
            </w:pPr>
            <w:r>
              <w:rPr>
                <w:b w:val="0"/>
                <w:i w:val="0"/>
                <w:sz w:val="19"/>
              </w:rPr>
              <w:t>Required</w:t>
            </w:r>
          </w:p>
        </w:tc>
      </w:tr>
      <w:tr>
        <w:tc>
          <w:tcPr>
            <w:tcW w:type="dxa" w:w="3249"/>
          </w:tcPr>
          <w:p>
            <w:pPr>
              <w:spacing w:after="40"/>
            </w:pPr>
            <w:r>
              <w:rPr>
                <w:b w:val="0"/>
                <w:i w:val="0"/>
                <w:sz w:val="19"/>
              </w:rPr>
              <w:t>Social media</w:t>
            </w:r>
          </w:p>
        </w:tc>
        <w:tc>
          <w:tcPr>
            <w:tcW w:type="dxa" w:w="3249"/>
          </w:tcPr>
          <w:p>
            <w:pPr>
              <w:spacing w:after="40"/>
            </w:pPr>
            <w:r>
              <w:rPr>
                <w:b w:val="0"/>
                <w:i w:val="0"/>
                <w:sz w:val="19"/>
              </w:rPr>
              <w:t>Lets you share content and lets the social network record that you visited</w:t>
            </w:r>
          </w:p>
        </w:tc>
        <w:tc>
          <w:tcPr>
            <w:tcW w:type="dxa" w:w="3249"/>
          </w:tcPr>
          <w:p>
            <w:pPr>
              <w:spacing w:after="40"/>
            </w:pPr>
            <w:r>
              <w:rPr>
                <w:b w:val="0"/>
                <w:i w:val="0"/>
                <w:sz w:val="19"/>
              </w:rPr>
              <w:t>Required</w:t>
            </w:r>
          </w:p>
        </w:tc>
      </w:tr>
    </w:tbl>
    <w:p/>
    <w:p>
      <w:pPr>
        <w:pStyle w:val="Heading1"/>
      </w:pPr>
      <w:r>
        <w:t>3. The cookies and trackers we use</w:t>
      </w:r>
    </w:p>
    <w:p>
      <w:r>
        <w:rPr>
          <w:i/>
        </w:rPr>
        <w:t>Reproduce the current GDPR-REG-04 export, one row per tracker. Keep the table under six columns; split by category if long.</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Name</w:t>
            </w:r>
          </w:p>
        </w:tc>
        <w:tc>
          <w:tcPr>
            <w:tcW w:type="dxa" w:w="1949"/>
            <w:shd w:val="clear" w:color="auto" w:fill="EEF3F8"/>
          </w:tcPr>
          <w:p>
            <w:pPr>
              <w:spacing w:after="40"/>
            </w:pPr>
            <w:r>
              <w:rPr>
                <w:b/>
                <w:i w:val="0"/>
                <w:sz w:val="19"/>
              </w:rPr>
              <w:t>Set by</w:t>
            </w:r>
          </w:p>
        </w:tc>
        <w:tc>
          <w:tcPr>
            <w:tcW w:type="dxa" w:w="1949"/>
            <w:shd w:val="clear" w:color="auto" w:fill="EEF3F8"/>
          </w:tcPr>
          <w:p>
            <w:pPr>
              <w:spacing w:after="40"/>
            </w:pPr>
            <w:r>
              <w:rPr>
                <w:b/>
                <w:i w:val="0"/>
                <w:sz w:val="19"/>
              </w:rPr>
              <w:t>Category</w:t>
            </w:r>
          </w:p>
        </w:tc>
        <w:tc>
          <w:tcPr>
            <w:tcW w:type="dxa" w:w="1949"/>
            <w:shd w:val="clear" w:color="auto" w:fill="EEF3F8"/>
          </w:tcPr>
          <w:p>
            <w:pPr>
              <w:spacing w:after="40"/>
            </w:pPr>
            <w:r>
              <w:rPr>
                <w:b/>
                <w:i w:val="0"/>
                <w:sz w:val="19"/>
              </w:rPr>
              <w:t>Purpose</w:t>
            </w:r>
          </w:p>
        </w:tc>
        <w:tc>
          <w:tcPr>
            <w:tcW w:type="dxa" w:w="1949"/>
            <w:shd w:val="clear" w:color="auto" w:fill="EEF3F8"/>
          </w:tcPr>
          <w:p>
            <w:pPr>
              <w:spacing w:after="40"/>
            </w:pPr>
            <w:r>
              <w:rPr>
                <w:b/>
                <w:i w:val="0"/>
                <w:sz w:val="19"/>
              </w:rPr>
              <w:t>Duration</w:t>
            </w:r>
          </w:p>
        </w:tc>
      </w:tr>
      <w:tr>
        <w:tc>
          <w:tcPr>
            <w:tcW w:type="dxa" w:w="1949"/>
          </w:tcPr>
          <w:p>
            <w:pPr>
              <w:spacing w:after="40"/>
            </w:pPr>
            <w:r>
              <w:rPr>
                <w:b w:val="0"/>
                <w:i w:val="0"/>
                <w:sz w:val="19"/>
              </w:rPr>
              <w:t>[Name]</w:t>
            </w:r>
          </w:p>
        </w:tc>
        <w:tc>
          <w:tcPr>
            <w:tcW w:type="dxa" w:w="1949"/>
          </w:tcPr>
          <w:p>
            <w:pPr>
              <w:spacing w:after="40"/>
            </w:pPr>
            <w:r>
              <w:rPr>
                <w:b w:val="0"/>
                <w:i w:val="0"/>
                <w:sz w:val="19"/>
              </w:rPr>
              <w:t>[Organisation or named third party]</w:t>
            </w:r>
          </w:p>
        </w:tc>
        <w:tc>
          <w:tcPr>
            <w:tcW w:type="dxa" w:w="1949"/>
          </w:tcPr>
          <w:p>
            <w:pPr>
              <w:spacing w:after="40"/>
            </w:pPr>
            <w:r>
              <w:rPr>
                <w:b w:val="0"/>
                <w:i w:val="0"/>
                <w:sz w:val="19"/>
              </w:rPr>
              <w:t>[Category]</w:t>
            </w:r>
          </w:p>
        </w:tc>
        <w:tc>
          <w:tcPr>
            <w:tcW w:type="dxa" w:w="1949"/>
          </w:tcPr>
          <w:p>
            <w:pPr>
              <w:spacing w:after="40"/>
            </w:pPr>
            <w:r>
              <w:rPr>
                <w:b w:val="0"/>
                <w:i w:val="0"/>
                <w:sz w:val="19"/>
              </w:rPr>
              <w:t>[Plain words]</w:t>
            </w:r>
          </w:p>
        </w:tc>
        <w:tc>
          <w:tcPr>
            <w:tcW w:type="dxa" w:w="1949"/>
          </w:tcPr>
          <w:p>
            <w:pPr>
              <w:spacing w:after="40"/>
            </w:pPr>
            <w:r>
              <w:rPr>
                <w:b w:val="0"/>
                <w:i w:val="0"/>
                <w:sz w:val="19"/>
              </w:rPr>
              <w:t>[Session, or a period]</w:t>
            </w:r>
          </w:p>
        </w:tc>
      </w:tr>
      <w:tr>
        <w:tc>
          <w:tcPr>
            <w:tcW w:type="dxa" w:w="1949"/>
          </w:tcPr>
          <w:p>
            <w:pPr>
              <w:spacing w:after="40"/>
            </w:pPr>
            <w:r>
              <w:rPr>
                <w:b w:val="0"/>
                <w:i w:val="0"/>
                <w:sz w:val="19"/>
              </w:rPr>
              <w:t>[Name]</w:t>
            </w:r>
          </w:p>
        </w:tc>
        <w:tc>
          <w:tcPr>
            <w:tcW w:type="dxa" w:w="1949"/>
          </w:tcPr>
          <w:p>
            <w:pPr>
              <w:spacing w:after="40"/>
            </w:pPr>
            <w:r>
              <w:rPr>
                <w:b w:val="0"/>
                <w:i w:val="0"/>
                <w:sz w:val="19"/>
              </w:rPr>
              <w:t>[Organisation or named third party]</w:t>
            </w:r>
          </w:p>
        </w:tc>
        <w:tc>
          <w:tcPr>
            <w:tcW w:type="dxa" w:w="1949"/>
          </w:tcPr>
          <w:p>
            <w:pPr>
              <w:spacing w:after="40"/>
            </w:pPr>
            <w:r>
              <w:rPr>
                <w:b w:val="0"/>
                <w:i w:val="0"/>
                <w:sz w:val="19"/>
              </w:rPr>
              <w:t>[Category]</w:t>
            </w:r>
          </w:p>
        </w:tc>
        <w:tc>
          <w:tcPr>
            <w:tcW w:type="dxa" w:w="1949"/>
          </w:tcPr>
          <w:p>
            <w:pPr>
              <w:spacing w:after="40"/>
            </w:pPr>
            <w:r>
              <w:rPr>
                <w:b w:val="0"/>
                <w:i w:val="0"/>
                <w:sz w:val="19"/>
              </w:rPr>
              <w:t>[Plain words]</w:t>
            </w:r>
          </w:p>
        </w:tc>
        <w:tc>
          <w:tcPr>
            <w:tcW w:type="dxa" w:w="1949"/>
          </w:tcPr>
          <w:p>
            <w:pPr>
              <w:spacing w:after="40"/>
            </w:pPr>
            <w:r>
              <w:rPr>
                <w:b w:val="0"/>
                <w:i w:val="0"/>
                <w:sz w:val="19"/>
              </w:rPr>
              <w:t>[Session, or a period]</w:t>
            </w:r>
          </w:p>
        </w:tc>
      </w:tr>
    </w:tbl>
    <w:p/>
    <w:p>
      <w:r>
        <w:rPr>
          <w:b w:val="0"/>
          <w:i w:val="0"/>
        </w:rPr>
        <w:t>Third parties that set cookies through our site act as [controllers in their own right or our processors]. Their own notices are linked in the table where they are controllers. Where a third party receives data outside [region], the transfer relies on [named mechanism], recorded in our transfer register.</w:t>
      </w:r>
    </w:p>
    <w:p>
      <w:pPr>
        <w:pStyle w:val="Heading1"/>
      </w:pPr>
      <w:r>
        <w:t>4. How we ask for your consent</w:t>
      </w:r>
    </w:p>
    <w:p>
      <w:r>
        <w:rPr>
          <w:b w:val="0"/>
          <w:i w:val="0"/>
        </w:rPr>
        <w:t>When you first visit, a banner asks you to choose. Nothing in the Functional, Analytics, Advertising or Social media categories is set until you accept it. The banner offers "Accept all", "Reject all" and "Choose" with equal prominence, and no category is pre-ticked. Closing the banner without choosing, scrolling or continuing to browse is not consent, and only strictly necessary technologies run.</w:t>
      </w:r>
    </w:p>
    <w:p>
      <w:r>
        <w:rPr>
          <w:b w:val="0"/>
          <w:i w:val="0"/>
        </w:rPr>
        <w:t xml:space="preserve">Your choice is recorded, with the date, the version of this notice and the categories you accepted, in a strictly necessary cookie and in our consent record, so that we can show what you agreed to. </w:t>
      </w:r>
      <w:r>
        <w:rPr>
          <w:i/>
        </w:rPr>
        <w:t>Record the consent in PIMS-REG-04 or the consent platform's log, keep the log for the period in PIMS-REG-07, and keep the banner wording of each version under GOV-REG-01.</w:t>
      </w:r>
    </w:p>
    <w:p>
      <w:r>
        <w:rPr>
          <w:b w:val="0"/>
          <w:i w:val="0"/>
        </w:rPr>
        <w:t>We ask again when we add a new category or a new third party, or after [Number] months, whichever comes first.</w:t>
      </w:r>
    </w:p>
    <w:p>
      <w:pPr>
        <w:pStyle w:val="Heading1"/>
      </w:pPr>
      <w:r>
        <w:t>5. How to withdraw or change your choice</w:t>
      </w:r>
    </w:p>
    <w:p>
      <w:r>
        <w:rPr>
          <w:b w:val="0"/>
          <w:i w:val="0"/>
        </w:rPr>
        <w:t>Open [the "Cookie settings" link in the footer] at any time, change the categories and save. Withdrawing consent stops the technologies in that category from the moment you save; data already collected is handled as described in the privacy notice. Withdrawal is as easy as giving consent: the same number of clicks, no account needed.</w:t>
      </w:r>
    </w:p>
    <w:p>
      <w:r>
        <w:rPr>
          <w:b w:val="0"/>
          <w:i w:val="0"/>
        </w:rPr>
        <w:t>You can also delete cookies and block storage in your browser or device settings. If you do, our consent record is deleted too and the banner will appear again.</w:t>
      </w:r>
    </w:p>
    <w:p>
      <w:pPr>
        <w:pStyle w:val="Heading1"/>
      </w:pPr>
      <w:r>
        <w:t>6. Do Not Track and similar signals</w:t>
      </w:r>
    </w:p>
    <w:p>
      <w:r>
        <w:rPr>
          <w:b w:val="0"/>
          <w:i w:val="0"/>
        </w:rPr>
        <w:t xml:space="preserve">[We honour the Global Privacy Control signal from your browser as a rejection of Advertising and Social media categories.] </w:t>
      </w:r>
      <w:r>
        <w:rPr>
          <w:i/>
        </w:rPr>
        <w:t>Delete or adjust to match what the site actually does; never claim to honour a signal that is not implemented.</w:t>
      </w:r>
    </w:p>
    <w:p>
      <w:pPr>
        <w:pStyle w:val="Heading1"/>
      </w:pPr>
      <w:r>
        <w:t>7. Mobile applications</w:t>
      </w:r>
    </w:p>
    <w:p>
      <w:r>
        <w:rPr>
          <w:b w:val="0"/>
          <w:i w:val="0"/>
        </w:rPr>
        <w:t>Our [application name] uses software development kits from [named providers] for [crash reporting, analytics, advertising]. The application asks for the same categories of consent at first launch and in [Settings, Privacy]. Operating system permissions, such as location or advertising identifier access, are requested separately by the device and can be withdrawn in its settings.</w:t>
      </w:r>
    </w:p>
    <w:p>
      <w:pPr>
        <w:pStyle w:val="Heading1"/>
      </w:pPr>
      <w:r>
        <w:t>8. Contact and complaints</w:t>
      </w:r>
    </w:p>
    <w:p>
      <w:r>
        <w:rPr>
          <w:b w:val="0"/>
          <w:i w:val="0"/>
        </w:rPr>
        <w:t>Questions about this notice go to [contact channel]. You may complain to [supervisory authority]. Our full privacy notice explains your other rights.</w:t>
      </w:r>
    </w:p>
    <w:p>
      <w:r>
        <w:rPr>
          <w:b w:val="0"/>
          <w:i w:val="0"/>
        </w:rPr>
        <w:t>Version [Number], effective [Date].</w:t>
      </w:r>
    </w:p>
    <w:p>
      <w:pPr>
        <w:pStyle w:val="Heading1"/>
      </w:pPr>
      <w:r>
        <w:t>9. Related documents</w:t>
      </w:r>
    </w:p>
    <w:p>
      <w:pPr>
        <w:pStyle w:val="ListBullet"/>
      </w:pPr>
      <w:r>
        <w:rPr>
          <w:b w:val="0"/>
          <w:i w:val="0"/>
        </w:rPr>
        <w:t>GDPR-REG-04 Cookie and tracker inventory</w:t>
      </w:r>
    </w:p>
    <w:p>
      <w:pPr>
        <w:pStyle w:val="ListBullet"/>
      </w:pPr>
      <w:r>
        <w:rPr>
          <w:b w:val="0"/>
          <w:i w:val="0"/>
        </w:rPr>
        <w:t>GDPR-TPL-01 Privacy notice template (customers and website)</w:t>
      </w:r>
    </w:p>
    <w:p>
      <w:pPr>
        <w:pStyle w:val="ListBullet"/>
      </w:pPr>
      <w:r>
        <w:rPr>
          <w:b w:val="0"/>
          <w:i w:val="0"/>
        </w:rPr>
        <w:t>GDPR-TPL-06 Consent form templates (customers and employees)</w:t>
      </w:r>
    </w:p>
    <w:p>
      <w:pPr>
        <w:pStyle w:val="ListBullet"/>
      </w:pPr>
      <w:r>
        <w:rPr>
          <w:b w:val="0"/>
          <w:i w:val="0"/>
        </w:rPr>
        <w:t>PIMS-PRO-05 Consent and privacy notice management procedure</w:t>
      </w:r>
    </w:p>
    <w:p>
      <w:pPr>
        <w:pStyle w:val="ListBullet"/>
      </w:pPr>
      <w:r>
        <w:rPr>
          <w:b w:val="0"/>
          <w:i w:val="0"/>
        </w:rPr>
        <w:t>PIMS-REG-04 Consent record register</w:t>
      </w:r>
    </w:p>
    <w:p>
      <w:pPr>
        <w:pStyle w:val="ListBullet"/>
      </w:pPr>
      <w:r>
        <w:rPr>
          <w:b w:val="0"/>
          <w:i w:val="0"/>
        </w:rPr>
        <w:t>PIMS-REG-05 International transfer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GDPR-TPL-04  |  Cookie and tracking technologies notice template  |  Version 1.0  |  Public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