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HIPAA-POL-01</w:t>
      </w:r>
    </w:p>
    <w:p>
      <w:r>
        <w:rPr>
          <w:b/>
          <w:color w:val="0B2D4D"/>
          <w:sz w:val="44"/>
        </w:rPr>
        <w:t>HIPAA privacy policy</w:t>
      </w:r>
    </w:p>
    <w:p>
      <w:r>
        <w:rPr>
          <w:i/>
          <w:color w:val="526478"/>
        </w:rPr>
        <w:t>How [Organisation] uses and discloses protected health information, applies the minimum necessary principle, and honours the rights of individuals under the HIPAA Privacy Rule.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HIPAA-POL-01</w:t>
            </w:r>
          </w:p>
        </w:tc>
      </w:tr>
      <w:tr>
        <w:tc>
          <w:tcPr>
            <w:tcW w:type="dxa" w:w="2551"/>
            <w:shd w:val="clear" w:color="auto" w:fill="EEF3F8"/>
          </w:tcPr>
          <w:p>
            <w:pPr>
              <w:spacing w:after="40"/>
            </w:pPr>
            <w:r>
              <w:rPr>
                <w:b/>
                <w:sz w:val="19"/>
              </w:rPr>
              <w:t>Title</w:t>
            </w:r>
          </w:p>
        </w:tc>
        <w:tc>
          <w:tcPr>
            <w:tcW w:type="dxa" w:w="6803"/>
          </w:tcPr>
          <w:p>
            <w:pPr>
              <w:spacing w:after="40"/>
            </w:pPr>
            <w:r>
              <w:rPr>
                <w:sz w:val="19"/>
              </w:rPr>
              <w:t>HIPAA privacy policy</w:t>
            </w:r>
          </w:p>
        </w:tc>
      </w:tr>
      <w:tr>
        <w:tc>
          <w:tcPr>
            <w:tcW w:type="dxa" w:w="2551"/>
            <w:shd w:val="clear" w:color="auto" w:fill="EEF3F8"/>
          </w:tcPr>
          <w:p>
            <w:pPr>
              <w:spacing w:after="40"/>
            </w:pPr>
            <w:r>
              <w:rPr>
                <w:b/>
                <w:sz w:val="19"/>
              </w:rPr>
              <w:t>Type</w:t>
            </w:r>
          </w:p>
        </w:tc>
        <w:tc>
          <w:tcPr>
            <w:tcW w:type="dxa" w:w="6803"/>
          </w:tcPr>
          <w:p>
            <w:pPr>
              <w:spacing w:after="40"/>
            </w:pPr>
            <w:r>
              <w:rPr>
                <w:sz w:val="19"/>
              </w:rPr>
              <w:t>Policy</w:t>
            </w:r>
          </w:p>
        </w:tc>
      </w:tr>
      <w:tr>
        <w:tc>
          <w:tcPr>
            <w:tcW w:type="dxa" w:w="2551"/>
            <w:shd w:val="clear" w:color="auto" w:fill="EEF3F8"/>
          </w:tcPr>
          <w:p>
            <w:pPr>
              <w:spacing w:after="40"/>
            </w:pPr>
            <w:r>
              <w:rPr>
                <w:b/>
                <w:sz w:val="19"/>
              </w:rPr>
              <w:t>Framework</w:t>
            </w:r>
          </w:p>
        </w:tc>
        <w:tc>
          <w:tcPr>
            <w:tcW w:type="dxa" w:w="6803"/>
          </w:tcPr>
          <w:p>
            <w:pPr>
              <w:spacing w:after="40"/>
            </w:pPr>
            <w:r>
              <w:rPr>
                <w:sz w:val="19"/>
              </w:rPr>
              <w:t>HIPAA</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HIPAA 45 CFR 164.502; HIPAA 45 CFR 164.514; HIPAA 45 CFR 164.520; HIPAA 45 CFR 164.524; HIPAA 45 CFR 164.526; HIPAA 45 CFR 164.528</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policy sets out how [Organisation] handles protected health information so that uses and disclosures are permitted, limited to the minimum necessary, and the rights of individuals are honoured, as the HIPAA Privacy Rule requires.</w:t>
      </w:r>
    </w:p>
    <w:p>
      <w:pPr>
        <w:pStyle w:val="Heading1"/>
      </w:pPr>
      <w:r>
        <w:t>2. Scope</w:t>
      </w:r>
    </w:p>
    <w:p>
      <w:r>
        <w:rPr>
          <w:b w:val="0"/>
          <w:i w:val="0"/>
        </w:rPr>
        <w:t>It applies to all protected health information that [Organisation] creates, receives, maintains or transmits, in any form, and to every member of the workforce and every system that handles it. Where [Organisation] acts as a business associate, this policy applies alongside the obligations in its business associate agreements.</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Privacy Officer</w:t>
            </w:r>
          </w:p>
        </w:tc>
        <w:tc>
          <w:tcPr>
            <w:tcW w:type="dxa" w:w="4873"/>
          </w:tcPr>
          <w:p>
            <w:pPr>
              <w:spacing w:after="40"/>
            </w:pPr>
            <w:r>
              <w:rPr>
                <w:b w:val="0"/>
                <w:i w:val="0"/>
                <w:sz w:val="19"/>
              </w:rPr>
              <w:t>Owns this policy, decides on uses and disclosures that are not routine, and handles individual rights requests and complaints.</w:t>
            </w:r>
          </w:p>
        </w:tc>
      </w:tr>
      <w:tr>
        <w:tc>
          <w:tcPr>
            <w:tcW w:type="dxa" w:w="4873"/>
          </w:tcPr>
          <w:p>
            <w:pPr>
              <w:spacing w:after="40"/>
            </w:pPr>
            <w:r>
              <w:rPr>
                <w:b w:val="0"/>
                <w:i w:val="0"/>
                <w:sz w:val="19"/>
              </w:rPr>
              <w:t>Workforce members</w:t>
            </w:r>
          </w:p>
        </w:tc>
        <w:tc>
          <w:tcPr>
            <w:tcW w:type="dxa" w:w="4873"/>
          </w:tcPr>
          <w:p>
            <w:pPr>
              <w:spacing w:after="40"/>
            </w:pPr>
            <w:r>
              <w:rPr>
                <w:b w:val="0"/>
                <w:i w:val="0"/>
                <w:sz w:val="19"/>
              </w:rPr>
              <w:t>Use and disclose protected health information only as this policy allows, and report suspected breaches.</w:t>
            </w:r>
          </w:p>
        </w:tc>
      </w:tr>
      <w:tr>
        <w:tc>
          <w:tcPr>
            <w:tcW w:type="dxa" w:w="4873"/>
          </w:tcPr>
          <w:p>
            <w:pPr>
              <w:spacing w:after="40"/>
            </w:pPr>
            <w:r>
              <w:rPr>
                <w:b w:val="0"/>
                <w:i w:val="0"/>
                <w:sz w:val="19"/>
              </w:rPr>
              <w:t>System owners</w:t>
            </w:r>
          </w:p>
        </w:tc>
        <w:tc>
          <w:tcPr>
            <w:tcW w:type="dxa" w:w="4873"/>
          </w:tcPr>
          <w:p>
            <w:pPr>
              <w:spacing w:after="40"/>
            </w:pPr>
            <w:r>
              <w:rPr>
                <w:b w:val="0"/>
                <w:i w:val="0"/>
                <w:sz w:val="19"/>
              </w:rPr>
              <w:t>Enforce access and minimum necessary controls in the systems they own.</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Approves the policy and the notice of privacy practices.</w:t>
            </w:r>
          </w:p>
        </w:tc>
      </w:tr>
    </w:tbl>
    <w:p/>
    <w:p>
      <w:pPr>
        <w:pStyle w:val="Heading1"/>
      </w:pPr>
      <w:r>
        <w:t>4. Policy statements</w:t>
      </w:r>
    </w:p>
    <w:p>
      <w:r>
        <w:rPr>
          <w:b w:val="0"/>
          <w:i w:val="0"/>
        </w:rPr>
        <w:t xml:space="preserve">4.1 </w:t>
      </w:r>
      <w:r>
        <w:rPr>
          <w:b/>
        </w:rPr>
        <w:t>Permitted uses and disclosures.</w:t>
      </w:r>
      <w:r>
        <w:rPr>
          <w:b w:val="0"/>
          <w:i w:val="0"/>
        </w:rPr>
        <w:t xml:space="preserve"> Protected health information is used and disclosed only for treatment, payment and health care operations, for purposes the individual has authorised, or as otherwise permitted or required by the Privacy Rule. Any other use or disclosure requires the individual's written authorisation.</w:t>
      </w:r>
    </w:p>
    <w:p>
      <w:r>
        <w:rPr>
          <w:b w:val="0"/>
          <w:i w:val="0"/>
        </w:rPr>
        <w:t xml:space="preserve">4.2 </w:t>
      </w:r>
      <w:r>
        <w:rPr>
          <w:b/>
        </w:rPr>
        <w:t>Minimum necessary.</w:t>
      </w:r>
      <w:r>
        <w:rPr>
          <w:b w:val="0"/>
          <w:i w:val="0"/>
        </w:rPr>
        <w:t xml:space="preserve"> For every use, disclosure and request other than for treatment, the workforce limits protected health information to the minimum necessary to accomplish the purpose. Access rights are set to the minimum each role needs, recorded in the access register.</w:t>
      </w:r>
    </w:p>
    <w:p>
      <w:r>
        <w:rPr>
          <w:b w:val="0"/>
          <w:i w:val="0"/>
        </w:rPr>
        <w:t xml:space="preserve">4.3 </w:t>
      </w:r>
      <w:r>
        <w:rPr>
          <w:b/>
        </w:rPr>
        <w:t>Notice of privacy practices.</w:t>
      </w:r>
      <w:r>
        <w:rPr>
          <w:b w:val="0"/>
          <w:i w:val="0"/>
        </w:rPr>
        <w:t xml:space="preserve"> Where [Organisation] is a covered entity, it maintains and provides a notice of privacy practices that describes how it uses and discloses protected health information and the rights of individuals. The notice is kept current and its version is recorded.</w:t>
      </w:r>
    </w:p>
    <w:p>
      <w:r>
        <w:rPr>
          <w:b w:val="0"/>
          <w:i w:val="0"/>
        </w:rPr>
        <w:t xml:space="preserve">4.4 </w:t>
      </w:r>
      <w:r>
        <w:rPr>
          <w:b/>
        </w:rPr>
        <w:t>Individual rights.</w:t>
      </w:r>
      <w:r>
        <w:rPr>
          <w:b w:val="0"/>
          <w:i w:val="0"/>
        </w:rPr>
        <w:t xml:space="preserve"> [Organisation] honours the rights of individuals under the Privacy Rule: to access and obtain a copy of their information, to request an amendment, to receive an accounting of certain disclosures, to request restrictions on use and disclosure, and to request confidential communications. Requests are logged, handled within the time limits the rule sets, and answered in writing.</w:t>
      </w:r>
    </w:p>
    <w:p>
      <w:r>
        <w:rPr>
          <w:b w:val="0"/>
          <w:i w:val="0"/>
        </w:rPr>
        <w:t xml:space="preserve">4.5 </w:t>
      </w:r>
      <w:r>
        <w:rPr>
          <w:b/>
        </w:rPr>
        <w:t>Authorisations.</w:t>
      </w:r>
      <w:r>
        <w:rPr>
          <w:b w:val="0"/>
          <w:i w:val="0"/>
        </w:rPr>
        <w:t xml:space="preserve"> Where an authorisation is required, it is obtained in the form the rule requires, recorded, and honoured, including any revocation.</w:t>
      </w:r>
    </w:p>
    <w:p>
      <w:r>
        <w:rPr>
          <w:b w:val="0"/>
          <w:i w:val="0"/>
        </w:rPr>
        <w:t xml:space="preserve">4.6 </w:t>
      </w:r>
      <w:r>
        <w:rPr>
          <w:b/>
        </w:rPr>
        <w:t>De-identification.</w:t>
      </w:r>
      <w:r>
        <w:rPr>
          <w:b w:val="0"/>
          <w:i w:val="0"/>
        </w:rPr>
        <w:t xml:space="preserve"> Information is treated as protected health information unless it has been de-identified under the standard in the Privacy Rule. De-identification decisions are documented.</w:t>
      </w:r>
    </w:p>
    <w:p>
      <w:r>
        <w:rPr>
          <w:b w:val="0"/>
          <w:i w:val="0"/>
        </w:rPr>
        <w:t xml:space="preserve">4.7 </w:t>
      </w:r>
      <w:r>
        <w:rPr>
          <w:b/>
        </w:rPr>
        <w:t>Business associates.</w:t>
      </w:r>
      <w:r>
        <w:rPr>
          <w:b w:val="0"/>
          <w:i w:val="0"/>
        </w:rPr>
        <w:t xml:space="preserve"> [Organisation] discloses protected health information to a business associate only under a written business associate agreement (HIPAA-TPL-01), and obtains equivalent assurances from any subcontractor that will handle the information.</w:t>
      </w:r>
    </w:p>
    <w:p>
      <w:r>
        <w:rPr>
          <w:b w:val="0"/>
          <w:i w:val="0"/>
        </w:rPr>
        <w:t xml:space="preserve">4.8 </w:t>
      </w:r>
      <w:r>
        <w:rPr>
          <w:b/>
        </w:rPr>
        <w:t>Workforce training.</w:t>
      </w:r>
      <w:r>
        <w:rPr>
          <w:b w:val="0"/>
          <w:i w:val="0"/>
        </w:rPr>
        <w:t xml:space="preserve"> Workforce members are trained on this policy on joining and periodically, and the training is recorded.</w:t>
      </w:r>
    </w:p>
    <w:p>
      <w:pPr>
        <w:pStyle w:val="Heading1"/>
      </w:pPr>
      <w:r>
        <w:t>5. Records and evidence</w:t>
      </w:r>
    </w:p>
    <w:p>
      <w:pPr>
        <w:pStyle w:val="ListBullet"/>
      </w:pPr>
      <w:r>
        <w:rPr>
          <w:b w:val="0"/>
          <w:i w:val="0"/>
        </w:rPr>
        <w:t>The notice of privacy practices and its version history.</w:t>
      </w:r>
    </w:p>
    <w:p>
      <w:pPr>
        <w:pStyle w:val="ListBullet"/>
      </w:pPr>
      <w:r>
        <w:rPr>
          <w:b w:val="0"/>
          <w:i w:val="0"/>
        </w:rPr>
        <w:t>The individual rights request log, including access, amendment, accounting, restriction and confidential communication requests.</w:t>
      </w:r>
    </w:p>
    <w:p>
      <w:pPr>
        <w:pStyle w:val="ListBullet"/>
      </w:pPr>
      <w:r>
        <w:rPr>
          <w:b w:val="0"/>
          <w:i w:val="0"/>
        </w:rPr>
        <w:t>Authorisations obtained and revoked.</w:t>
      </w:r>
    </w:p>
    <w:p>
      <w:pPr>
        <w:pStyle w:val="ListBullet"/>
      </w:pPr>
      <w:r>
        <w:rPr>
          <w:b w:val="0"/>
          <w:i w:val="0"/>
        </w:rPr>
        <w:t>The business associate register (HIPAA-REG-02).</w:t>
      </w:r>
    </w:p>
    <w:p>
      <w:pPr>
        <w:pStyle w:val="ListBullet"/>
      </w:pPr>
      <w:r>
        <w:rPr>
          <w:b w:val="0"/>
          <w:i w:val="0"/>
        </w:rPr>
        <w:t>Workforce training records.</w:t>
      </w:r>
    </w:p>
    <w:p>
      <w:pPr>
        <w:pStyle w:val="Heading1"/>
      </w:pPr>
      <w:r>
        <w:t>6. Exceptions</w:t>
      </w:r>
    </w:p>
    <w:p>
      <w:r>
        <w:rPr>
          <w:b w:val="0"/>
          <w:i w:val="0"/>
        </w:rPr>
        <w:t>A use or disclosure that this policy does not clearly permit is approved by the Privacy Officer and recorded before it is made, or it is not made.</w:t>
      </w:r>
    </w:p>
    <w:p>
      <w:pPr>
        <w:pStyle w:val="Heading1"/>
      </w:pPr>
      <w:r>
        <w:t>7. Review and maintenance</w:t>
      </w:r>
    </w:p>
    <w:p>
      <w:r>
        <w:rPr>
          <w:b w:val="0"/>
          <w:i w:val="0"/>
        </w:rPr>
        <w:t>The Privacy Officer reviews this policy and the notice of privacy practices annually, and after any change in the law, in the organisation or in the systems that handle protected health information.</w:t>
      </w:r>
    </w:p>
    <w:p>
      <w:pPr>
        <w:pStyle w:val="Heading1"/>
      </w:pPr>
      <w:r>
        <w:t>8. Related documents</w:t>
      </w:r>
    </w:p>
    <w:p>
      <w:pPr>
        <w:pStyle w:val="ListBullet"/>
      </w:pPr>
      <w:r>
        <w:rPr>
          <w:b w:val="0"/>
          <w:i w:val="0"/>
        </w:rPr>
        <w:t>HIPAA-POL-02 HIPAA security policy</w:t>
      </w:r>
    </w:p>
    <w:p>
      <w:pPr>
        <w:pStyle w:val="ListBullet"/>
      </w:pPr>
      <w:r>
        <w:rPr>
          <w:b w:val="0"/>
          <w:i w:val="0"/>
        </w:rPr>
        <w:t>HIPAA-PRO-02 HIPAA breach notification procedure</w:t>
      </w:r>
    </w:p>
    <w:p>
      <w:pPr>
        <w:pStyle w:val="ListBullet"/>
      </w:pPr>
      <w:r>
        <w:rPr>
          <w:b w:val="0"/>
          <w:i w:val="0"/>
        </w:rPr>
        <w:t>HIPAA-TPL-01 Business associate agreement</w:t>
      </w:r>
    </w:p>
    <w:p>
      <w:pPr>
        <w:pStyle w:val="ListBullet"/>
      </w:pPr>
      <w:r>
        <w:rPr>
          <w:b w:val="0"/>
          <w:i w:val="0"/>
        </w:rPr>
        <w:t>GOV-PRO-10 Access management procedure</w:t>
      </w:r>
    </w:p>
    <w:p>
      <w:pPr>
        <w:pStyle w:val="ListBullet"/>
      </w:pPr>
      <w:r>
        <w:rPr>
          <w:b w:val="0"/>
          <w:i w:val="0"/>
        </w:rPr>
        <w:t>PIMS-PRO-03 Data subject rights handling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HIPAA-POL-01  |  HIPAA privacy policy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