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ISMS-STM-01</w:t>
      </w:r>
    </w:p>
    <w:p>
      <w:r>
        <w:rPr>
          <w:b/>
          <w:color w:val="0B2D4D"/>
          <w:sz w:val="44"/>
        </w:rPr>
        <w:t>ISMS scope statement</w:t>
      </w:r>
    </w:p>
    <w:p>
      <w:r>
        <w:rPr>
          <w:i/>
          <w:color w:val="526478"/>
        </w:rPr>
        <w:t>Defines the boundary of the information security management system, the organisation, locations, services, systems, interfaces and exclusions it covers, and how that boundary is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ISMS-STM-01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ISMS scope statement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Statement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4.3; ISO/IEC 27001:2022 clause 4.1; ISO/IEC 27001:2022 clause 4.2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Statement of scope</w:t>
      </w:r>
    </w:p>
    <w:p>
      <w:r>
        <w:rPr>
          <w:b w:val="0"/>
          <w:i w:val="0"/>
        </w:rPr>
        <w:t>The information security management system (ISMS) of [Organisation] covers the people, processes, information and technology used to design, deliver, operate and support [Service or product description] for its customers from the locations listed in section 2, together with the corporate functions named there. The boundary was set after the context analysis recorded in ISMS-REG-03 and takes account of the internal and external issues, the interested parties and the dependencies described below.</w:t>
      </w:r>
    </w:p>
    <w:p>
      <w:r>
        <w:rPr>
          <w:b w:val="0"/>
          <w:i w:val="0"/>
        </w:rPr>
        <w:t>The scope wording used on certificates and in public statements is:</w:t>
      </w:r>
    </w:p>
    <w:p>
      <w:r>
        <w:rPr>
          <w:i/>
        </w:rPr>
        <w:t>The information security management system supporting the design, development, operation and support of [Service or product description] for customers, delivered from [Location] and the hosted infrastructure described in the Statement of Applicability version [Number].</w:t>
      </w:r>
    </w:p>
    <w:p>
      <w:pPr>
        <w:pStyle w:val="Heading1"/>
      </w:pPr>
      <w:r>
        <w:t>2. Organisation and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Location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Function performed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In scope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[Head office city]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Leadership, engineering, operations, customer support, finance, people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[Second office city]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[Function]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Home working locations of staff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Engineering, operations and support work performed under GOV-POL-05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Yes, for the staff and managed devices covered by that policy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[Provider hosting region]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Hosting of production and non-production environments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Yes, within the shared responsibility split in section 5</w:t>
            </w:r>
          </w:p>
        </w:tc>
      </w:tr>
    </w:tbl>
    <w:p/>
    <w:p>
      <w:r>
        <w:rPr>
          <w:b w:val="0"/>
          <w:i w:val="0"/>
        </w:rPr>
        <w:t>Employees, contractors and temporary workers who perform work within the functions above are inside the scope for the duration of their engagement.</w:t>
      </w:r>
    </w:p>
    <w:p>
      <w:pPr>
        <w:pStyle w:val="Heading1"/>
      </w:pPr>
      <w:r>
        <w:t>3. Services and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Service or product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Description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Service Owner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[Service name]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[One sentence on what it does and for whom]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Customer support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Handling of support requests and the customer information they contain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Internal corporate systems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Identity, email, collaboration, finance and people systems that hold [Organisation] information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4. Information, systems and networks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Element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What is included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Information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Customer data processed by the services above; personal data of staff, candidates and customer contacts; source code, configuration, credentials and keys; commercial and financial records; the records of this ISMS.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Systems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Production and non-production environments of [Service name]; the source code repository and build pipeline; the identity provider; the device management platform; the ticketing and documentation systems; end user devices issued to staff.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Networks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office network at [Location]; the virtual networks in the hosting account or accounts; the remote access path used by administrators; the managed device fleet. Home networks are outside the scope except for the controls placed on the device under GOV-POL-05.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Registers of record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GOV-REG-10 lists each information asset in scope with its owner and classification. GOV-REG-24 lists hardware and software, including end of support dates.</w:t>
            </w:r>
          </w:p>
        </w:tc>
      </w:tr>
    </w:tbl>
    <w:p/>
    <w:p>
      <w:pPr>
        <w:pStyle w:val="Heading1"/>
      </w:pPr>
      <w:r>
        <w:t>5. Interfaces and dependencies</w:t>
      </w:r>
    </w:p>
    <w:p>
      <w:r>
        <w:rPr>
          <w:b w:val="0"/>
          <w:i w:val="0"/>
        </w:rPr>
        <w:t>[Organisation] relies on external providers for parts of the environment. The split of responsibility is recorded here and in GOV-PRO-26, and the providers themselves are listed in GOV-REG-07.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Dependency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Provider responsibility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[Organisation] responsibility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Cloud hosting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Physical security of data centres, hypervisor, physical network, availability of the platform services used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Account configuration, identity and access, encryption settings, logging, backups, network rules, workload patching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Identity and productivity suite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Service availability, security of the platform itself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Tenant configuration, user lifecycle, multi-factor enforcement, data sharing settings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Payment, email and analytics processors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Security of their own service as contracted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Choice of provider, contract terms, data minimisation, monitoring under GOV-PRO-06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Outsourced development or support, where used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Delivery to the contract and to the security clauses in it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Oversight, access provisioning, code review and acceptance</w:t>
            </w:r>
          </w:p>
        </w:tc>
      </w:tr>
    </w:tbl>
    <w:p/>
    <w:p>
      <w:r>
        <w:rPr>
          <w:b w:val="0"/>
          <w:i w:val="0"/>
        </w:rPr>
        <w:t>Interfaces between in-scope and out-of-scope elements, for example an integration from [Service name] to a customer's own system, are listed in GOV-REG-25 with their classification and protection.</w:t>
      </w:r>
    </w:p>
    <w:p>
      <w:pPr>
        <w:pStyle w:val="Heading1"/>
      </w:pPr>
      <w:r>
        <w:t>6. Exclusions and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Excluded element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Justification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Remaining interface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[Business unit or product not covered]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Separately managed, separate systems, no access to in-scope information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Shared identity provider; the shared tenant controls stay in scope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Physical security of provider data centres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Operated by the provider and covered by its own assurance reports, which are reviewed under GOV-PRO-06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Assurance report review recorded in GOV-REG-07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Personal devices not enrolled in device management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Not permitted to reach in-scope systems under GOV-POL-02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Technical block enforced by the identity provider</w:t>
            </w:r>
          </w:p>
        </w:tc>
      </w:tr>
    </w:tbl>
    <w:p/>
    <w:p>
      <w:r>
        <w:rPr>
          <w:b w:val="0"/>
          <w:i w:val="0"/>
        </w:rPr>
        <w:t>An exclusion is permitted only where it does not reduce [Organisation]'s ability to protect in-scope information or to meet a requirement recorded in ISMS-REG-03. Each exclusion is re-examined during the annual risk assessment.</w:t>
      </w:r>
    </w:p>
    <w:p>
      <w:pPr>
        <w:pStyle w:val="Heading1"/>
      </w:pPr>
      <w:r>
        <w:t>7. Requirements considered</w:t>
      </w:r>
    </w:p>
    <w:p>
      <w:r>
        <w:rPr>
          <w:b w:val="0"/>
          <w:i w:val="0"/>
        </w:rPr>
        <w:t>The scope reflects the requirements of the interested parties recorded in ISMS-REG-03, the legal and contractual obligations in GOV-REG-04, and the issues identified through ISMS-PRO-01. Where a customer contract requires a particular system or location to sit within a certified scope, that requirement is recorded against the contract in GOV-REG-04 and reflected here.</w:t>
      </w:r>
    </w:p>
    <w:p>
      <w:pPr>
        <w:pStyle w:val="Heading1"/>
      </w:pPr>
      <w:r>
        <w:t>8. Changes to the scope</w:t>
      </w:r>
    </w:p>
    <w:p>
      <w:r>
        <w:rPr>
          <w:b w:val="0"/>
          <w:i w:val="0"/>
        </w:rPr>
        <w:t>8.1 Any role may propose a scope change. The proposal names the element to add or remove, the reason, the affected interested parties and the expected effect on risk.</w:t>
      </w:r>
    </w:p>
    <w:p>
      <w:r>
        <w:rPr>
          <w:b w:val="0"/>
          <w:i w:val="0"/>
        </w:rPr>
        <w:t>8.2 The Information Security Manager assesses the proposal against the risk register (GOV-REG-05) and the Statement of Applicability (ISMS-REG-01) and presents it to the steering committee defined in GOV-POL-01.</w:t>
      </w:r>
    </w:p>
    <w:p>
      <w:r>
        <w:rPr>
          <w:b w:val="0"/>
          <w:i w:val="0"/>
        </w:rPr>
        <w:t>8.3 The Chief Executive Officer approves the change. The Information Security Manager then updates this statement, GOV-REG-10, the risk assessment and ISMS-REG-01 within thirty days, and notifies the certification body where a certificate is held.</w:t>
      </w:r>
    </w:p>
    <w:p>
      <w:r>
        <w:rPr>
          <w:b w:val="0"/>
          <w:i w:val="0"/>
        </w:rPr>
        <w:t>8.4 The following events require a scope review within thirty days: a new product or service, a new office or hosting region, an acquisition or divestment, a new category of customer data, a change of principal provider, or a contract that requires a change of scope.</w:t>
      </w:r>
    </w:p>
    <w:p>
      <w:pPr>
        <w:pStyle w:val="Heading1"/>
      </w:pPr>
      <w:r>
        <w:t>9. Records and related documents</w:t>
      </w:r>
    </w:p>
    <w:p>
      <w:pPr>
        <w:pStyle w:val="ListBullet"/>
      </w:pPr>
      <w:r>
        <w:rPr>
          <w:b w:val="0"/>
          <w:i w:val="0"/>
        </w:rPr>
        <w:t>ISMS-REG-03 Interested parties and requirements register</w:t>
      </w:r>
    </w:p>
    <w:p>
      <w:pPr>
        <w:pStyle w:val="ListBullet"/>
      </w:pPr>
      <w:r>
        <w:rPr>
          <w:b w:val="0"/>
          <w:i w:val="0"/>
        </w:rPr>
        <w:t>ISMS-REG-01 Statement of Applicability</w:t>
      </w:r>
    </w:p>
    <w:p>
      <w:pPr>
        <w:pStyle w:val="ListBullet"/>
      </w:pPr>
      <w:r>
        <w:rPr>
          <w:b w:val="0"/>
          <w:i w:val="0"/>
        </w:rPr>
        <w:t>ISMS-PRO-01 Context of the organisation and interested parties procedure</w:t>
      </w:r>
    </w:p>
    <w:p>
      <w:pPr>
        <w:pStyle w:val="ListBullet"/>
      </w:pPr>
      <w:r>
        <w:rPr>
          <w:b w:val="0"/>
          <w:i w:val="0"/>
        </w:rPr>
        <w:t>GOV-REG-10 Information asset register</w:t>
      </w:r>
    </w:p>
    <w:p>
      <w:pPr>
        <w:pStyle w:val="ListBullet"/>
      </w:pPr>
      <w:r>
        <w:rPr>
          <w:b w:val="0"/>
          <w:i w:val="0"/>
        </w:rPr>
        <w:t>GOV-REG-25 Data flow and interface inventory</w:t>
      </w:r>
    </w:p>
    <w:p>
      <w:pPr>
        <w:pStyle w:val="ListBullet"/>
      </w:pPr>
      <w:r>
        <w:rPr>
          <w:b w:val="0"/>
          <w:i w:val="0"/>
        </w:rPr>
        <w:t>GOV-REG-07 Supplier register</w:t>
      </w:r>
    </w:p>
    <w:p>
      <w:pPr>
        <w:pStyle w:val="ListBullet"/>
      </w:pPr>
      <w:r>
        <w:rPr>
          <w:b w:val="0"/>
          <w:i w:val="0"/>
        </w:rPr>
        <w:t>GOV-REG-04 Legal, regulatory and contractual register</w:t>
      </w:r>
    </w:p>
    <w:p>
      <w:pPr>
        <w:pStyle w:val="ListBullet"/>
      </w:pPr>
      <w:r>
        <w:rPr>
          <w:b w:val="0"/>
          <w:i w:val="0"/>
        </w:rPr>
        <w:t>GOV-POL-01 Information security and privacy governance framework</w:t>
      </w:r>
    </w:p>
    <w:p>
      <w:pPr>
        <w:pStyle w:val="ListBullet"/>
      </w:pPr>
      <w:r>
        <w:rPr>
          <w:b w:val="0"/>
          <w:i w:val="0"/>
        </w:rPr>
        <w:t>GOV-PRO-26 Cloud services security procedure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ISMS-STM-01  |  ISMS scope statement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