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1A2"/>
          <w:sz w:val="20"/>
        </w:rPr>
        <w:t>PIMS-TPL-01</w:t>
      </w:r>
    </w:p>
    <w:p>
      <w:r>
        <w:rPr>
          <w:b/>
          <w:color w:val="0B2D4D"/>
          <w:sz w:val="44"/>
        </w:rPr>
        <w:t>Data protection impact assessment template</w:t>
      </w:r>
    </w:p>
    <w:p>
      <w:r>
        <w:rPr>
          <w:i/>
          <w:color w:val="526478"/>
        </w:rPr>
        <w:t>The form used under PIMS-PRO-02 to screen a processing activity, describe it, test its necessity, record consultation, score the risks to individuals before and after measures, and obtain approval of the residual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PIMS-TPL-01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Data protection impact assessment template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Template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ISO/IEC 27701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Requirements served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GDPR Article 35; ISO/IEC 27701 clause 7.2.5; ISO/IEC 27701 Annex A 7.2.5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Owner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Privacy Officer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Privacy Officer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Confidential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 (template)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Review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Annual</w:t>
            </w:r>
          </w:p>
        </w:tc>
      </w:tr>
    </w:tbl>
    <w:p/>
    <w:p>
      <w:r>
        <w:rPr>
          <w:b/>
          <w:color w:val="0B2D4D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First issue from the kit template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[Role]</w:t>
            </w:r>
          </w:p>
        </w:tc>
      </w:tr>
    </w:tbl>
    <w:p/>
    <w:p>
      <w:r>
        <w:rPr>
          <w:i/>
        </w:rPr>
        <w:t>Guidance notes are in italics. One assessment per processing activity or project. The reference is assigned by the Privacy Officer from PIMS-REG-08. Complete section 1 at concept stage; the remaining sections only when section 1 results in "assessment required". Write for a reader who was not in the project: an auditor or the supervisory authority may read this document.</w:t>
      </w:r>
    </w:p>
    <w:p>
      <w:pPr>
        <w:pStyle w:val="Heading1"/>
      </w:pPr>
      <w:r>
        <w:t>1. Screening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Assessment reference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[DPIA ID from PIMS-REG-08]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Processing activity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[Name], PIMS-REG-01 reference [Processing ID]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Project or system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[System name]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Processing Owner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[Name], [Role]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Date of screening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Role of [Organisation]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[Controller, Joint controller, Processor], decided under PIMS-PRO-01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Trigger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Applies?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Justification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1. Evaluation, scoring or profiling of individuals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2. Automated decisions with legal or similarly significant effect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3. Systematic monitoring, tracking or surveillance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4. Special categories, criminal offence data or highly personal data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 Large scale processing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 Matching or combining data sets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7. Vulnerable individuals or individuals with little choice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8. New or innovative technology, including AI features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9. Could deny a service, benefit or access, or cause discrimination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10. Data obtained without the individuals' involvement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11. Transfer outside the region of establishment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12. Listed by the supervisory authority as requiring an assessment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[Yes or No]</w:t>
            </w:r>
          </w:p>
        </w:tc>
        <w:tc>
          <w:tcPr>
            <w:tcW w:type="dxa" w:w="3249"/>
          </w:tcPr>
          <w:p>
            <w:pPr>
              <w:spacing w:after="4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Screening outcome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[Assessment required, Assessment not required]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Reasons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Apply the rule in PIMS-PRO-02 step 4.2. If not required, state why the risk is low and which review under PIMS-PRO-06 still applies.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Decided by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Privacy Officer, [Date]</w:t>
            </w:r>
          </w:p>
        </w:tc>
      </w:tr>
    </w:tbl>
    <w:p/>
    <w:p>
      <w:pPr>
        <w:pStyle w:val="Heading1"/>
      </w:pPr>
      <w:r>
        <w:t>2. Description of the processing</w:t>
      </w:r>
    </w:p>
    <w:p>
      <w:r>
        <w:rPr>
          <w:i/>
        </w:rPr>
        <w:t>Describe what will actually happen to the data. Reference a data flow in GOV-REG-25 or GDPR-REG-02 rather than drawing a new one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Aspect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Description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Purposes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Each purpose in one sentence, and the benefit to [Organisation], to the individuals and to any third party.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Nature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How data is collected, used, stored, shared and deleted. Who has access. Which processors and systems are involved.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Data items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List each field or category. Mark special categories and identifiers.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Individuals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Who they are, approximately how many, and the relationship to [Organisation].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Scale and duration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Volume, frequency, retention period from PIMS-REG-07, and geographical extent.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Context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What individuals would reasonably expect. Prior complaints or concerns about similar processing. Any imbalance of power. Novelty of the technology.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Recipients and transfers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Internal teams, processors (PIMS-REG-06 references), other controllers, and any destination outside the region with its PIMS-REG-05 reference.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Systems, hosting, any machine learning or AI component (AI-REG-01 reference), any tracking technology (GDPR-REG-04 reference).</w:t>
            </w:r>
          </w:p>
        </w:tc>
      </w:tr>
    </w:tbl>
    <w:p/>
    <w:p>
      <w:pPr>
        <w:pStyle w:val="Heading1"/>
      </w:pPr>
      <w:r>
        <w:t>3. Necessity and proportionality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Question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Answer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Lawful basis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The basis for each purpose; for legitimate interests attach GDPR-TPL-07; for consent describe the capture under PIMS-PRO-05.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Does the processing achieve the purpose?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Evidence that it works, not an assumption.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Is there a less intrusive way?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Alternatives considered: less data, aggregated or pseudonymised data, shorter retention, opt-in design. Why each was rejected.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Minimisation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Which data items were removed during design. Why each remaining item is needed.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How data is kept accurate and how errors are corrected.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Retention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Period, trigger and how deletion is configured, with the PIMS-REG-07 reference.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Transparency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Which notice tells individuals, when they see it, and what changed in it for this processing.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Rights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How access, rectification, erasure, restriction, portability and objection are supported in the system, and how automated decisions can be contested.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Processors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Terms signed based on PIMS-TPL-02 and the PIMS-REG-06 references.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International transfers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Mechanism and transfer impact assessment reference under PIMS-POL-03.</w:t>
            </w:r>
          </w:p>
        </w:tc>
      </w:tr>
    </w:tbl>
    <w:p/>
    <w:p>
      <w:pPr>
        <w:pStyle w:val="Heading1"/>
      </w:pPr>
      <w:r>
        <w:t>4. Consultation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Who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When and how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What they said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Response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Privacy Officer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Information Security Manager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Individuals or their representatives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/>
                <w:sz w:val="19"/>
              </w:rPr>
              <w:t>Or the reason it was not practicable.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Processors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Legal adviser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Others, for example works council</w:t>
            </w: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  <w:tc>
          <w:tcPr>
            <w:tcW w:type="dxa" w:w="2436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5. Risks to individuals</w:t>
      </w:r>
    </w:p>
    <w:p>
      <w:r>
        <w:rPr>
          <w:i/>
        </w:rPr>
        <w:t>Write each risk from the individual's point of view. Score likelihood 1 to 5 and severity 1 to 5 as defined in PIMS-PRO-02 step 4.8. Score is likelihood multiplied by severity. Bands: 1 to 4 low, 5 to 9 medium, 10 to 15 high, 16 to 25 critical.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ID</w:t>
            </w:r>
          </w:p>
        </w:tc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Risk to individuals and its source</w:t>
            </w:r>
          </w:p>
        </w:tc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Likelihood</w:t>
            </w:r>
          </w:p>
        </w:tc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Severity</w:t>
            </w:r>
          </w:p>
        </w:tc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Score and band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R1</w:t>
            </w: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R2</w:t>
            </w: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R3</w:t>
            </w: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R4</w:t>
            </w: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6. Measures and residual risk</w:t>
      </w:r>
    </w:p>
    <w:p>
      <w:r>
        <w:rPr>
          <w:i/>
        </w:rPr>
        <w:t>One row per risk at medium or above. Each measure has an owner and a due date and exists as a backlog item, a configuration, a contract clause or a procedure. A measure not yet in place is To confirm until evidence is attached.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ID</w:t>
            </w:r>
          </w:p>
        </w:tc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Measures, owner and status</w:t>
            </w:r>
          </w:p>
        </w:tc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Residual likelihood</w:t>
            </w:r>
          </w:p>
        </w:tc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Residual severity</w:t>
            </w:r>
          </w:p>
        </w:tc>
        <w:tc>
          <w:tcPr>
            <w:tcW w:type="dxa" w:w="19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Residual score and band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R1</w:t>
            </w: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R2</w:t>
            </w: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R3</w:t>
            </w: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R4</w:t>
            </w: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  <w:tc>
          <w:tcPr>
            <w:tcW w:type="dxa" w:w="1949"/>
          </w:tcPr>
          <w:p>
            <w:pPr>
              <w:spacing w:after="4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Highest residual band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[Low, Medium, High, Critical]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GOV-REG-05 references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For every medium or higher residual risk.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Prior consultation required?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[Yes or No]. </w:t>
            </w:r>
            <w:r>
              <w:rPr>
                <w:i/>
                <w:sz w:val="19"/>
              </w:rPr>
              <w:t>Yes when a high residual risk cannot be reduced further; see PIMS-PRO-02 step 4.11.</w:t>
            </w:r>
          </w:p>
        </w:tc>
      </w:tr>
    </w:tbl>
    <w:p/>
    <w:p>
      <w:pPr>
        <w:pStyle w:val="Heading1"/>
      </w:pPr>
      <w:r>
        <w:t>7. Approval and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Privacy Officer's advice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Proceed, proceed with conditions, or do not proceed, with reasons. Conditions are listed with owners and dates.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Advice accepted?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 xml:space="preserve">[Yes or No]. </w:t>
            </w:r>
            <w:r>
              <w:rPr>
                <w:i/>
                <w:sz w:val="19"/>
              </w:rPr>
              <w:t>If No, the reasons for departing from the advice are recorded here and reported at the next management review.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Approver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/>
                <w:sz w:val="19"/>
              </w:rPr>
              <w:t>Processing Owner for low or medium residual; Chief Executive Officer for high residual.</w:t>
            </w:r>
            <w:r>
              <w:rPr>
                <w:b w:val="0"/>
                <w:i w:val="0"/>
                <w:sz w:val="19"/>
              </w:rPr>
              <w:t xml:space="preserve"> [Name], [Role]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[Approved, Approved with conditions, Not approved]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[Signature]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sz w:val="19"/>
              </w:rPr>
              <w:t>PIMS-REG-08 status set to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[Approved, Prior consultation, Rejected]</w:t>
            </w:r>
          </w:p>
        </w:tc>
      </w:tr>
    </w:tbl>
    <w:p/>
    <w:p>
      <w:pPr>
        <w:pStyle w:val="Heading1"/>
      </w:pPr>
      <w:r>
        <w:t>8. Review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Reviewer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Trigger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Outcome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[Role]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[Scheduled, Change, Breach, Complaint, Guidance]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/>
                <w:sz w:val="19"/>
              </w:rPr>
              <w:t>No change, or a summary of what changed and which sections were updated.</w:t>
            </w:r>
          </w:p>
        </w:tc>
      </w:tr>
    </w:tbl>
    <w:p/>
    <w:p>
      <w:pPr>
        <w:pStyle w:val="Heading1"/>
      </w:pPr>
      <w:r>
        <w:t>9. Related documents</w:t>
      </w:r>
    </w:p>
    <w:p>
      <w:pPr>
        <w:pStyle w:val="ListBullet"/>
      </w:pPr>
      <w:r>
        <w:rPr>
          <w:b w:val="0"/>
          <w:i w:val="0"/>
        </w:rPr>
        <w:t>PIMS-PRO-02 Privacy risk and data protection impact assessment procedure</w:t>
      </w:r>
    </w:p>
    <w:p>
      <w:pPr>
        <w:pStyle w:val="ListBullet"/>
      </w:pPr>
      <w:r>
        <w:rPr>
          <w:b w:val="0"/>
          <w:i w:val="0"/>
        </w:rPr>
        <w:t>PIMS-REG-08 DPIA register</w:t>
      </w:r>
    </w:p>
    <w:p>
      <w:pPr>
        <w:pStyle w:val="ListBullet"/>
      </w:pPr>
      <w:r>
        <w:rPr>
          <w:b w:val="0"/>
          <w:i w:val="0"/>
        </w:rPr>
        <w:t>PIMS-REG-01 Personal data processing inventory</w:t>
      </w:r>
    </w:p>
    <w:p>
      <w:pPr>
        <w:pStyle w:val="ListBullet"/>
      </w:pPr>
      <w:r>
        <w:rPr>
          <w:b w:val="0"/>
          <w:i w:val="0"/>
        </w:rPr>
        <w:t>PIMS-PRO-06 Privacy by design and by default procedure</w:t>
      </w:r>
    </w:p>
    <w:p>
      <w:pPr>
        <w:pStyle w:val="ListBullet"/>
      </w:pPr>
      <w:r>
        <w:rPr>
          <w:b w:val="0"/>
          <w:i w:val="0"/>
        </w:rPr>
        <w:t>GOV-PRO-05 Risk assessment and treatment methodology</w:t>
      </w:r>
    </w:p>
    <w:p>
      <w:pPr>
        <w:pStyle w:val="ListBullet"/>
      </w:pPr>
      <w:r>
        <w:rPr>
          <w:b w:val="0"/>
          <w:i w:val="0"/>
        </w:rPr>
        <w:t>GOV-REG-05 Information security risk register</w:t>
      </w:r>
    </w:p>
    <w:p>
      <w:pPr>
        <w:pStyle w:val="ListBullet"/>
      </w:pPr>
      <w:r>
        <w:rPr>
          <w:b w:val="0"/>
          <w:i w:val="0"/>
        </w:rPr>
        <w:t>GDPR-TPL-07 Legitimate interests assessment template</w:t>
      </w:r>
    </w:p>
    <w:p>
      <w:pPr>
        <w:pStyle w:val="ListBullet"/>
      </w:pPr>
      <w:r>
        <w:rPr>
          <w:b w:val="0"/>
          <w:i w:val="0"/>
        </w:rPr>
        <w:t>GDPR-TPL-08 Transfer impact assessment template</w:t>
      </w:r>
    </w:p>
    <w:p/>
    <w:p>
      <w:r>
        <w:rPr>
          <w:i/>
          <w:color w:val="526478"/>
          <w:sz w:val="17"/>
        </w:rPr>
        <w:t>This document is a template from an open documentation kit. Replace every item in square brackets, remove what does not apply, and have the approver sign it before use. A template is not evidence of compliance.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8"/>
        <w:sz w:val="16"/>
      </w:rPr>
      <w:t xml:space="preserve">PIMS-TPL-01  |  Data protection impact assessment template  |  Version 1.0  |  Confidential  |  Page </w:t>
    </w:r>
    <w:r>
      <w:rPr>
        <w:color w:val="526478"/>
        <w:sz w:val="16"/>
      </w:rPr>
      <w:fldChar w:fldCharType="begin"/>
    </w:r>
    <w:r>
      <w:rPr>
        <w:color w:val="526478"/>
        <w:sz w:val="16"/>
      </w:rPr>
      <w:instrText xml:space="preserve">PAGE</w:instrText>
    </w:r>
    <w:r>
      <w:rPr>
        <w:color w:val="52647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