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PIMS-TPL-02</w:t>
      </w:r>
    </w:p>
    <w:p>
      <w:r>
        <w:rPr>
          <w:b/>
          <w:color w:val="0B2D4D"/>
          <w:sz w:val="44"/>
        </w:rPr>
        <w:t>Data processing agreement template</w:t>
      </w:r>
    </w:p>
    <w:p>
      <w:r>
        <w:rPr>
          <w:i/>
          <w:color w:val="526478"/>
        </w:rPr>
        <w:t>Plain-English processing terms, with placeholders, covering every element a contract between a controller and a processor must contain, for [Organisation] to use when it engages a processor or when it acts as a processor for a client, together with the three annexes that describe the processing, the security measures and the approved sub-processors.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PIMS-TPL-02</w:t>
            </w:r>
          </w:p>
        </w:tc>
      </w:tr>
      <w:tr>
        <w:tc>
          <w:tcPr>
            <w:tcW w:type="dxa" w:w="2551"/>
            <w:shd w:val="clear" w:color="auto" w:fill="EEF3F8"/>
          </w:tcPr>
          <w:p>
            <w:pPr>
              <w:spacing w:after="40"/>
            </w:pPr>
            <w:r>
              <w:rPr>
                <w:b/>
                <w:sz w:val="19"/>
              </w:rPr>
              <w:t>Title</w:t>
            </w:r>
          </w:p>
        </w:tc>
        <w:tc>
          <w:tcPr>
            <w:tcW w:type="dxa" w:w="6803"/>
          </w:tcPr>
          <w:p>
            <w:pPr>
              <w:spacing w:after="40"/>
            </w:pPr>
            <w:r>
              <w:rPr>
                <w:sz w:val="19"/>
              </w:rPr>
              <w:t>Data processing agreement template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27701</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28; ISO/IEC 27701 clause 7.2.6; ISO/IEC 27701 clause 8.2.1; ISO/IEC 27701 Annex A 7.2.6; ISO/IEC 27701 Annex B 8.2.1; ISO/IEC 27701 Annex B 8.5.6; ISO/IEC 27701 Annex B 8.5.7</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This template is a starting point for the legal adviser, not legal advice; the legal adviser confirms the wording against the law of each jurisdiction in GOV-REG-04 before signature. Use it in two directions: as the terms [Organisation] requires from a processor it engages, and as the terms [Organisation] offers when it is the processor. The word Controller below means the party that decides the purposes and means under PIMS-PRO-01, and Processor means the party that processes on the Controller's instructions. Where standard contractual clauses are needed for an international transfer under PIMS-POL-03, they are attached as a further annex and take precedence over any conflicting term here.</w:t>
      </w:r>
    </w:p>
    <w:p>
      <w:pPr>
        <w:pStyle w:val="Heading1"/>
      </w:pPr>
      <w:r>
        <w:t>1. Parties and roles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Controller</w:t>
            </w:r>
          </w:p>
        </w:tc>
        <w:tc>
          <w:tcPr>
            <w:tcW w:type="dxa" w:w="4873"/>
          </w:tcPr>
          <w:p>
            <w:pPr>
              <w:spacing w:after="40"/>
            </w:pPr>
            <w:r>
              <w:rPr>
                <w:b w:val="0"/>
                <w:i w:val="0"/>
                <w:sz w:val="19"/>
              </w:rPr>
              <w:t>[Organisation name], [registered address], [registration number]</w:t>
            </w:r>
          </w:p>
        </w:tc>
      </w:tr>
      <w:tr>
        <w:tc>
          <w:tcPr>
            <w:tcW w:type="dxa" w:w="4873"/>
          </w:tcPr>
          <w:p>
            <w:pPr>
              <w:spacing w:after="40"/>
            </w:pPr>
            <w:r>
              <w:rPr>
                <w:b/>
                <w:sz w:val="19"/>
              </w:rPr>
              <w:t>Processor</w:t>
            </w:r>
          </w:p>
        </w:tc>
        <w:tc>
          <w:tcPr>
            <w:tcW w:type="dxa" w:w="4873"/>
          </w:tcPr>
          <w:p>
            <w:pPr>
              <w:spacing w:after="40"/>
            </w:pPr>
            <w:r>
              <w:rPr>
                <w:b w:val="0"/>
                <w:i w:val="0"/>
                <w:sz w:val="19"/>
              </w:rPr>
              <w:t>[Organisation name], [registered address], [registration number]</w:t>
            </w:r>
          </w:p>
        </w:tc>
      </w:tr>
      <w:tr>
        <w:tc>
          <w:tcPr>
            <w:tcW w:type="dxa" w:w="4873"/>
          </w:tcPr>
          <w:p>
            <w:pPr>
              <w:spacing w:after="40"/>
            </w:pPr>
            <w:r>
              <w:rPr>
                <w:b/>
                <w:sz w:val="19"/>
              </w:rPr>
              <w:t>Main agreement</w:t>
            </w:r>
          </w:p>
        </w:tc>
        <w:tc>
          <w:tcPr>
            <w:tcW w:type="dxa" w:w="4873"/>
          </w:tcPr>
          <w:p>
            <w:pPr>
              <w:spacing w:after="40"/>
            </w:pPr>
            <w:r>
              <w:rPr>
                <w:i/>
                <w:sz w:val="19"/>
              </w:rPr>
              <w:t>The service contract these terms attach to, with its date.</w:t>
            </w:r>
            <w:r>
              <w:rPr>
                <w:b w:val="0"/>
                <w:i w:val="0"/>
                <w:sz w:val="19"/>
              </w:rPr>
              <w:t xml:space="preserve"> [Reference], [Date]</w:t>
            </w:r>
          </w:p>
        </w:tc>
      </w:tr>
      <w:tr>
        <w:tc>
          <w:tcPr>
            <w:tcW w:type="dxa" w:w="4873"/>
          </w:tcPr>
          <w:p>
            <w:pPr>
              <w:spacing w:after="40"/>
            </w:pPr>
            <w:r>
              <w:rPr>
                <w:b/>
                <w:sz w:val="19"/>
              </w:rPr>
              <w:t>Effective date</w:t>
            </w:r>
          </w:p>
        </w:tc>
        <w:tc>
          <w:tcPr>
            <w:tcW w:type="dxa" w:w="4873"/>
          </w:tcPr>
          <w:p>
            <w:pPr>
              <w:spacing w:after="40"/>
            </w:pPr>
            <w:r>
              <w:rPr>
                <w:b w:val="0"/>
                <w:i w:val="0"/>
                <w:sz w:val="19"/>
              </w:rPr>
              <w:t>[Date]</w:t>
            </w:r>
          </w:p>
        </w:tc>
      </w:tr>
      <w:tr>
        <w:tc>
          <w:tcPr>
            <w:tcW w:type="dxa" w:w="4873"/>
          </w:tcPr>
          <w:p>
            <w:pPr>
              <w:spacing w:after="40"/>
            </w:pPr>
            <w:r>
              <w:rPr>
                <w:b/>
                <w:sz w:val="19"/>
              </w:rPr>
              <w:t>Controller's privacy contact</w:t>
            </w:r>
          </w:p>
        </w:tc>
        <w:tc>
          <w:tcPr>
            <w:tcW w:type="dxa" w:w="4873"/>
          </w:tcPr>
          <w:p>
            <w:pPr>
              <w:spacing w:after="40"/>
            </w:pPr>
            <w:r>
              <w:rPr>
                <w:b w:val="0"/>
                <w:i w:val="0"/>
                <w:sz w:val="19"/>
              </w:rPr>
              <w:t>[Role], [contact channel]</w:t>
            </w:r>
          </w:p>
        </w:tc>
      </w:tr>
      <w:tr>
        <w:tc>
          <w:tcPr>
            <w:tcW w:type="dxa" w:w="4873"/>
          </w:tcPr>
          <w:p>
            <w:pPr>
              <w:spacing w:after="40"/>
            </w:pPr>
            <w:r>
              <w:rPr>
                <w:b/>
                <w:sz w:val="19"/>
              </w:rPr>
              <w:t>Processor's privacy contact</w:t>
            </w:r>
          </w:p>
        </w:tc>
        <w:tc>
          <w:tcPr>
            <w:tcW w:type="dxa" w:w="4873"/>
          </w:tcPr>
          <w:p>
            <w:pPr>
              <w:spacing w:after="40"/>
            </w:pPr>
            <w:r>
              <w:rPr>
                <w:b w:val="0"/>
                <w:i w:val="0"/>
                <w:sz w:val="19"/>
              </w:rPr>
              <w:t>[Role], [contact channel]</w:t>
            </w:r>
          </w:p>
        </w:tc>
      </w:tr>
    </w:tbl>
    <w:p/>
    <w:p>
      <w:r>
        <w:rPr>
          <w:b w:val="0"/>
          <w:i w:val="0"/>
        </w:rPr>
        <w:t>1.1 These terms form part of the main agreement and apply whenever the Processor processes personal data on behalf of the Controller in performing it. If these terms conflict with the main agreement on the processing of personal data, these terms prevail.</w:t>
      </w:r>
    </w:p>
    <w:p>
      <w:r>
        <w:rPr>
          <w:b w:val="0"/>
          <w:i w:val="0"/>
        </w:rPr>
        <w:t>1.2 The parties agree that, for the processing described in Annex 1, the Controller determines the purposes and means and the Processor acts only on the Controller's behalf. Each party remains responsible for its own compliance with the law that applies to it.</w:t>
      </w:r>
    </w:p>
    <w:p>
      <w:pPr>
        <w:pStyle w:val="Heading1"/>
      </w:pPr>
      <w:r>
        <w:t>2. Definitions</w:t>
      </w:r>
    </w:p>
    <w:p>
      <w:r>
        <w:rPr>
          <w:b w:val="0"/>
          <w:i w:val="0"/>
        </w:rPr>
        <w:t>2.1 Personal data, processing, data subject, personal data breach, supervisory authority and special categories have the meanings given to them in the data protection law that applies to the Controller, named in Annex 1.</w:t>
      </w:r>
    </w:p>
    <w:p>
      <w:r>
        <w:rPr>
          <w:b w:val="0"/>
          <w:i w:val="0"/>
        </w:rPr>
        <w:t>2.2 Sub-processor means any third party engaged by the Processor to process personal data under these terms. Instructions means the Controller's written instructions, including the main agreement, Annex 1 and any later instruction given through the contact in section 1.</w:t>
      </w:r>
    </w:p>
    <w:p>
      <w:pPr>
        <w:pStyle w:val="Heading1"/>
      </w:pPr>
      <w:r>
        <w:t>3. Subject matter, duration, nature and purpose</w:t>
      </w:r>
    </w:p>
    <w:p>
      <w:r>
        <w:rPr>
          <w:b w:val="0"/>
          <w:i w:val="0"/>
        </w:rPr>
        <w:t>3.1 The subject matter, duration, nature and purpose of the processing, the types of personal data and the categories of data subjects are set out in Annex 1. The Processor processes personal data only to the extent and for the duration needed to provide the services.</w:t>
      </w:r>
    </w:p>
    <w:p>
      <w:r>
        <w:rPr>
          <w:b w:val="0"/>
          <w:i w:val="0"/>
        </w:rPr>
        <w:t>3.2 The processing lasts for the term of the main agreement and for the deletion or return period in section 13 after it ends.</w:t>
      </w:r>
    </w:p>
    <w:p>
      <w:pPr>
        <w:pStyle w:val="Heading1"/>
      </w:pPr>
      <w:r>
        <w:t>4. Instructions</w:t>
      </w:r>
    </w:p>
    <w:p>
      <w:r>
        <w:rPr>
          <w:b w:val="0"/>
          <w:i w:val="0"/>
        </w:rPr>
        <w:t>4.1 The Processor processes personal data only on the Controller's documented instructions, including with regard to transfers to another country, unless the law that applies to the Processor requires otherwise. In that case the Processor tells the Controller of the legal requirement before processing, unless that law prohibits the notice on important grounds of public interest.</w:t>
      </w:r>
    </w:p>
    <w:p>
      <w:r>
        <w:rPr>
          <w:b w:val="0"/>
          <w:i w:val="0"/>
        </w:rPr>
        <w:t>4.2 The Processor tells the Controller without delay if, in its opinion, an instruction infringes data protection law. The Processor may suspend the instruction concerned until the Controller confirms or withdraws it.</w:t>
      </w:r>
    </w:p>
    <w:p>
      <w:r>
        <w:rPr>
          <w:b w:val="0"/>
          <w:i w:val="0"/>
        </w:rPr>
        <w:t>4.3 The Processor does not process personal data for its own purposes, including product improvement, analytics, marketing, profiling or the training of any model, unless Annex 1 expressly allows a specific use and the Controller has confirmed the lawful basis for it.</w:t>
      </w:r>
    </w:p>
    <w:p>
      <w:r>
        <w:rPr>
          <w:b w:val="0"/>
          <w:i w:val="0"/>
        </w:rPr>
        <w:t>4.4 Instructions are given by the Controller's privacy contact or a person the Controller names in writing. The Processor may ask for an instruction to be confirmed in writing before acting.</w:t>
      </w:r>
    </w:p>
    <w:p>
      <w:pPr>
        <w:pStyle w:val="Heading1"/>
      </w:pPr>
      <w:r>
        <w:t>5. Confidentiality</w:t>
      </w:r>
    </w:p>
    <w:p>
      <w:r>
        <w:rPr>
          <w:b w:val="0"/>
          <w:i w:val="0"/>
        </w:rPr>
        <w:t>5.1 The Processor allows access to personal data only to people who need it to provide the services, who are bound by a written confidentiality obligation or a statutory duty of confidentiality, and who have received training in the protection of personal data.</w:t>
      </w:r>
    </w:p>
    <w:p>
      <w:r>
        <w:rPr>
          <w:b w:val="0"/>
          <w:i w:val="0"/>
        </w:rPr>
        <w:t>5.2 The Processor keeps a record of the people and roles authorised to access the Controller's personal data and makes it available to the Controller on request.</w:t>
      </w:r>
    </w:p>
    <w:p>
      <w:pPr>
        <w:pStyle w:val="Heading1"/>
      </w:pPr>
      <w:r>
        <w:t>6. Security</w:t>
      </w:r>
    </w:p>
    <w:p>
      <w:r>
        <w:rPr>
          <w:b w:val="0"/>
          <w:i w:val="0"/>
        </w:rPr>
        <w:t>6.1 The Processor implements and maintains the technical and organisational measures in Annex 2, and any further measures needed to provide a level of security appropriate to the risk, taking into account the state of the art, the cost of implementation, and the nature, scope, context and purposes of the processing and the risks to individuals.</w:t>
      </w:r>
    </w:p>
    <w:p>
      <w:r>
        <w:rPr>
          <w:b w:val="0"/>
          <w:i w:val="0"/>
        </w:rPr>
        <w:t>6.2 The Processor may update the measures in Annex 2 provided the level of protection does not fall below what Annex 2 provides, and gives the Controller notice of material changes.</w:t>
      </w:r>
    </w:p>
    <w:p>
      <w:r>
        <w:rPr>
          <w:b w:val="0"/>
          <w:i w:val="0"/>
        </w:rPr>
        <w:t>6.3 The Processor assists the Controller in meeting the Controller's own security obligations, taking into account the nature of the processing and the information available to the Processor.</w:t>
      </w:r>
    </w:p>
    <w:p>
      <w:pPr>
        <w:pStyle w:val="Heading1"/>
      </w:pPr>
      <w:r>
        <w:t>7. Sub-processors</w:t>
      </w:r>
    </w:p>
    <w:p>
      <w:r>
        <w:rPr>
          <w:b w:val="0"/>
          <w:i w:val="0"/>
        </w:rPr>
        <w:t>7.1 The Processor engages a sub-processor only with the Controller's authorisation. The parties choose one of the following: [Specific authorisation: each sub-processor is approved in writing before engagement] or [General authorisation: the sub-processors in Annex 3 are approved, and the Processor gives the Controller at least [Number] days' written notice of any addition or replacement, during which the Controller may object on reasonable grounds relating to data protection].</w:t>
      </w:r>
    </w:p>
    <w:p>
      <w:r>
        <w:rPr>
          <w:b w:val="0"/>
          <w:i w:val="0"/>
        </w:rPr>
        <w:t>7.2 Where the Controller objects under a general authorisation and the parties cannot resolve the objection within [Number] days, the Controller may terminate the affected services without penalty.</w:t>
      </w:r>
    </w:p>
    <w:p>
      <w:r>
        <w:rPr>
          <w:b w:val="0"/>
          <w:i w:val="0"/>
        </w:rPr>
        <w:t>7.3 The Processor imposes on every sub-processor, by written contract, data protection obligations no less protective than these terms, in particular the security measures in Annex 2. The Processor remains fully liable to the Controller for the sub-processor's performance.</w:t>
      </w:r>
    </w:p>
    <w:p>
      <w:r>
        <w:rPr>
          <w:b w:val="0"/>
          <w:i w:val="0"/>
        </w:rPr>
        <w:t>7.4 The Processor keeps Annex 3 current, including the location of each sub-processor's processing, and provides it to the Controller on request.</w:t>
      </w:r>
    </w:p>
    <w:p>
      <w:pPr>
        <w:pStyle w:val="Heading1"/>
      </w:pPr>
      <w:r>
        <w:t>8. Assistance with the rights of individuals</w:t>
      </w:r>
    </w:p>
    <w:p>
      <w:r>
        <w:rPr>
          <w:b w:val="0"/>
          <w:i w:val="0"/>
        </w:rPr>
        <w:t>8.1 The Processor assists the Controller, by appropriate technical and organisational measures and so far as possible, in responding to requests from individuals to exercise their rights, including access, rectification, erasure, restriction, portability, objection and the review of automated decisions.</w:t>
      </w:r>
    </w:p>
    <w:p>
      <w:r>
        <w:rPr>
          <w:b w:val="0"/>
          <w:i w:val="0"/>
        </w:rPr>
        <w:t>8.2 The Processor forwards to the Controller, within [Number] working days of receipt, any request from an individual that concerns the Controller's personal data, and does not respond to the individual except to say the request has been passed to the Controller, unless the Controller instructs otherwise.</w:t>
      </w:r>
    </w:p>
    <w:p>
      <w:r>
        <w:rPr>
          <w:b w:val="0"/>
          <w:i w:val="0"/>
        </w:rPr>
        <w:t>8.3 The Processor provides the assistance in section 8.1 within [Number] working days of the Controller's request, or sooner where the Controller's legal deadline requires it.</w:t>
      </w:r>
    </w:p>
    <w:p>
      <w:pPr>
        <w:pStyle w:val="Heading1"/>
      </w:pPr>
      <w:r>
        <w:t>9. Assistance with assessments and consultation</w:t>
      </w:r>
    </w:p>
    <w:p>
      <w:r>
        <w:rPr>
          <w:b w:val="0"/>
          <w:i w:val="0"/>
        </w:rPr>
        <w:t>9.1 The Processor assists the Controller with data protection impact assessments and with any prior consultation with a supervisory authority, by providing the information about the processing, the security measures and the sub-processors that the Controller reasonably requests, within [Number] working days.</w:t>
      </w:r>
    </w:p>
    <w:p>
      <w:pPr>
        <w:pStyle w:val="Heading1"/>
      </w:pPr>
      <w:r>
        <w:t>10. Personal data breach</w:t>
      </w:r>
    </w:p>
    <w:p>
      <w:r>
        <w:rPr>
          <w:b w:val="0"/>
          <w:i w:val="0"/>
        </w:rPr>
        <w:t>10.1 The Processor notifies the Controller without undue delay, and in any case within [Number] hours, after becoming aware of a personal data breach affecting the Controller's personal data, through the Controller's privacy contact.</w:t>
      </w:r>
    </w:p>
    <w:p>
      <w:r>
        <w:rPr>
          <w:b w:val="0"/>
          <w:i w:val="0"/>
        </w:rPr>
        <w:t>10.2 The notification describes, so far as known, the nature of the breach, the categories and approximate numbers of individuals and records concerned, the likely consequences, the measures taken or proposed, and a contact point. Information not available at first is provided in phases without undue delay.</w:t>
      </w:r>
    </w:p>
    <w:p>
      <w:r>
        <w:rPr>
          <w:b w:val="0"/>
          <w:i w:val="0"/>
        </w:rPr>
        <w:t>10.3 The Processor cooperates with the Controller's investigation, preserves evidence, takes the containment measures the Controller reasonably instructs, and does not notify a supervisory authority, individuals or the public about the Controller's data unless the Controller instructs it in writing or the law requires the Processor to do so.</w:t>
      </w:r>
    </w:p>
    <w:p>
      <w:pPr>
        <w:pStyle w:val="Heading1"/>
      </w:pPr>
      <w:r>
        <w:t>11. International transfers</w:t>
      </w:r>
    </w:p>
    <w:p>
      <w:r>
        <w:rPr>
          <w:b w:val="0"/>
          <w:i w:val="0"/>
        </w:rPr>
        <w:t>11.1 The Processor does not transfer personal data to, or allow access from, a country outside [Region] except as set out in Annex 1 or Annex 3, or on the Controller's documented instruction, and only under a transfer mechanism that satisfies the applicable law.</w:t>
      </w:r>
    </w:p>
    <w:p>
      <w:r>
        <w:rPr>
          <w:b w:val="0"/>
          <w:i w:val="0"/>
        </w:rPr>
        <w:t>11.2 Where a transfer relies on standard contractual clauses or similar safeguards, the parties execute them as an annex to these terms and the Processor cooperates with any transfer impact assessment the Controller performs.</w:t>
      </w:r>
    </w:p>
    <w:p>
      <w:r>
        <w:rPr>
          <w:b w:val="0"/>
          <w:i w:val="0"/>
        </w:rPr>
        <w:t>11.3 The Processor tells the Controller of any legally binding request for the Controller's personal data from a public authority, before disclosure where the law allows, discloses only the minimum the request lawfully requires, and records every such request and disclosure.</w:t>
      </w:r>
    </w:p>
    <w:p>
      <w:pPr>
        <w:pStyle w:val="Heading1"/>
      </w:pPr>
      <w:r>
        <w:t>12. Audits and information</w:t>
      </w:r>
    </w:p>
    <w:p>
      <w:r>
        <w:rPr>
          <w:b w:val="0"/>
          <w:i w:val="0"/>
        </w:rPr>
        <w:t>12.1 The Processor makes available to the Controller all information necessary to demonstrate compliance with these terms, including relevant certifications and independent assurance reports where they exist.</w:t>
      </w:r>
    </w:p>
    <w:p>
      <w:r>
        <w:rPr>
          <w:b w:val="0"/>
          <w:i w:val="0"/>
        </w:rPr>
        <w:t>12.2 The Processor allows and contributes to audits and inspections conducted by the Controller or an auditor mandated by the Controller, no more than once in any twelve months unless a breach or a supervisory authority requires otherwise, on at least [Number] days' notice, during business hours, under reasonable confidentiality terms and without unreasonable disruption to the Processor's operations. The Controller may rely on an independent assurance report in place of an on-site audit where the report covers the services and the period.</w:t>
      </w:r>
    </w:p>
    <w:p>
      <w:r>
        <w:rPr>
          <w:b w:val="0"/>
          <w:i w:val="0"/>
        </w:rPr>
        <w:t>12.3 The Processor informs the Controller immediately if an audit reveals that an instruction or a part of the services infringes data protection law.</w:t>
      </w:r>
    </w:p>
    <w:p>
      <w:pPr>
        <w:pStyle w:val="Heading1"/>
      </w:pPr>
      <w:r>
        <w:t>13. Deletion or return</w:t>
      </w:r>
    </w:p>
    <w:p>
      <w:r>
        <w:rPr>
          <w:b w:val="0"/>
          <w:i w:val="0"/>
        </w:rPr>
        <w:t>13.1 At the end of the services, or earlier on the Controller's instruction, the Processor, at the Controller's choice, deletes or returns all personal data to the Controller in a commonly used format, and deletes existing copies, within [Number] days, unless the law that applies to the Processor requires storage of the personal data. In that case the Processor tells the Controller what is retained, under which law and for how long, and continues to protect it under these terms.</w:t>
      </w:r>
    </w:p>
    <w:p>
      <w:r>
        <w:rPr>
          <w:b w:val="0"/>
          <w:i w:val="0"/>
        </w:rPr>
        <w:t>13.2 The Processor provides written confirmation of deletion, including deletion by sub-processors, and confirms that backup copies expire within [Number] days under the Processor's normal backup cycle and are not restored to production.</w:t>
      </w:r>
    </w:p>
    <w:p>
      <w:pPr>
        <w:pStyle w:val="Heading1"/>
      </w:pPr>
      <w:r>
        <w:t>14. Records and demonstration of compliance</w:t>
      </w:r>
    </w:p>
    <w:p>
      <w:r>
        <w:rPr>
          <w:b w:val="0"/>
          <w:i w:val="0"/>
        </w:rPr>
        <w:t>14.1 The Processor keeps a record of the categories of processing carried out on behalf of the Controller containing the information the law requires, and makes it available to the supervisory authority on request.</w:t>
      </w:r>
    </w:p>
    <w:p>
      <w:r>
        <w:rPr>
          <w:b w:val="0"/>
          <w:i w:val="0"/>
        </w:rPr>
        <w:t>14.2 Each party keeps these terms, the annexes and the records they generate for the term of the main agreement and the period required by its retention schedule.</w:t>
      </w:r>
    </w:p>
    <w:p>
      <w:pPr>
        <w:pStyle w:val="Heading1"/>
      </w:pPr>
      <w:r>
        <w:t>15. Liability and indemnity</w:t>
      </w:r>
    </w:p>
    <w:p>
      <w:r>
        <w:rPr>
          <w:b w:val="0"/>
          <w:i w:val="0"/>
        </w:rPr>
        <w:t xml:space="preserve">15.1 </w:t>
      </w:r>
      <w:r>
        <w:rPr>
          <w:i/>
        </w:rPr>
        <w:t>Placeholder for the legal adviser. State how liability for breaches of these terms relates to the liability provisions of the main agreement, whether any cap applies to data protection claims, and the indemnity, if any, that each party gives the other for regulatory fines and third party claims arising from its own breach.</w:t>
      </w:r>
      <w:r>
        <w:rPr>
          <w:b w:val="0"/>
          <w:i w:val="0"/>
        </w:rPr>
        <w:t xml:space="preserve"> [Liability and indemnity wording]</w:t>
      </w:r>
    </w:p>
    <w:p>
      <w:pPr>
        <w:pStyle w:val="Heading1"/>
      </w:pPr>
      <w:r>
        <w:t>16. Term, termination and precedence</w:t>
      </w:r>
    </w:p>
    <w:p>
      <w:r>
        <w:rPr>
          <w:b w:val="0"/>
          <w:i w:val="0"/>
        </w:rPr>
        <w:t>16.1 These terms start on the effective date and continue until the Processor has deleted or returned all personal data under section 13.</w:t>
      </w:r>
    </w:p>
    <w:p>
      <w:r>
        <w:rPr>
          <w:b w:val="0"/>
          <w:i w:val="0"/>
        </w:rPr>
        <w:t>16.2 Either party may terminate the affected services if the other party is in material breach of these terms and does not remedy it within [Number] days of written notice.</w:t>
      </w:r>
    </w:p>
    <w:p>
      <w:r>
        <w:rPr>
          <w:b w:val="0"/>
          <w:i w:val="0"/>
        </w:rPr>
        <w:t>16.3 Changes to these terms are made in writing and signed by both parties. The parties review these terms when the law, the services, the data or the sub-processors change, and at least every [Number] months.</w:t>
      </w:r>
    </w:p>
    <w:p>
      <w:pPr>
        <w:pStyle w:val="Heading1"/>
      </w:pPr>
      <w:r>
        <w:t>17. Signatures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Controller</w:t>
            </w:r>
          </w:p>
        </w:tc>
        <w:tc>
          <w:tcPr>
            <w:tcW w:type="dxa" w:w="4873"/>
            <w:shd w:val="clear" w:color="auto" w:fill="EEF3F8"/>
          </w:tcPr>
          <w:p>
            <w:pPr>
              <w:spacing w:after="40"/>
            </w:pPr>
            <w:r>
              <w:rPr>
                <w:b/>
                <w:i w:val="0"/>
                <w:sz w:val="19"/>
              </w:rPr>
              <w:t>Processor</w:t>
            </w:r>
          </w:p>
        </w:tc>
      </w:tr>
      <w:tr>
        <w:tc>
          <w:tcPr>
            <w:tcW w:type="dxa" w:w="4873"/>
          </w:tcPr>
          <w:p>
            <w:pPr>
              <w:spacing w:after="40"/>
            </w:pPr>
            <w:r>
              <w:rPr>
                <w:b w:val="0"/>
                <w:i w:val="0"/>
                <w:sz w:val="19"/>
              </w:rPr>
              <w:t>[Name], [Role]</w:t>
            </w:r>
          </w:p>
        </w:tc>
        <w:tc>
          <w:tcPr>
            <w:tcW w:type="dxa" w:w="4873"/>
          </w:tcPr>
          <w:p>
            <w:pPr>
              <w:spacing w:after="40"/>
            </w:pPr>
            <w:r>
              <w:rPr>
                <w:b w:val="0"/>
                <w:i w:val="0"/>
                <w:sz w:val="19"/>
              </w:rPr>
              <w:t>[Name], [Role]</w:t>
            </w:r>
          </w:p>
        </w:tc>
      </w:tr>
      <w:tr>
        <w:tc>
          <w:tcPr>
            <w:tcW w:type="dxa" w:w="4873"/>
          </w:tcPr>
          <w:p>
            <w:pPr>
              <w:spacing w:after="40"/>
            </w:pPr>
            <w:r>
              <w:rPr>
                <w:b w:val="0"/>
                <w:i w:val="0"/>
                <w:sz w:val="19"/>
              </w:rPr>
              <w:t>[Signature]</w:t>
            </w:r>
          </w:p>
        </w:tc>
        <w:tc>
          <w:tcPr>
            <w:tcW w:type="dxa" w:w="4873"/>
          </w:tcPr>
          <w:p>
            <w:pPr>
              <w:spacing w:after="40"/>
            </w:pPr>
            <w:r>
              <w:rPr>
                <w:b w:val="0"/>
                <w:i w:val="0"/>
                <w:sz w:val="19"/>
              </w:rPr>
              <w:t>[Signature]</w:t>
            </w:r>
          </w:p>
        </w:tc>
      </w:tr>
      <w:tr>
        <w:tc>
          <w:tcPr>
            <w:tcW w:type="dxa" w:w="4873"/>
          </w:tcPr>
          <w:p>
            <w:pPr>
              <w:spacing w:after="40"/>
            </w:pPr>
            <w:r>
              <w:rPr>
                <w:b w:val="0"/>
                <w:i w:val="0"/>
                <w:sz w:val="19"/>
              </w:rPr>
              <w:t>[Date]</w:t>
            </w:r>
          </w:p>
        </w:tc>
        <w:tc>
          <w:tcPr>
            <w:tcW w:type="dxa" w:w="4873"/>
          </w:tcPr>
          <w:p>
            <w:pPr>
              <w:spacing w:after="40"/>
            </w:pPr>
            <w:r>
              <w:rPr>
                <w:b w:val="0"/>
                <w:i w:val="0"/>
                <w:sz w:val="19"/>
              </w:rPr>
              <w:t>[Date]</w:t>
            </w:r>
          </w:p>
        </w:tc>
      </w:tr>
    </w:tbl>
    <w:p/>
    <w:p>
      <w:pPr>
        <w:pStyle w:val="Heading1"/>
      </w:pPr>
      <w:r>
        <w:t>Annex 1: Processing details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Applicable data protection law</w:t>
            </w:r>
          </w:p>
        </w:tc>
        <w:tc>
          <w:tcPr>
            <w:tcW w:type="dxa" w:w="4873"/>
          </w:tcPr>
          <w:p>
            <w:pPr>
              <w:spacing w:after="40"/>
            </w:pPr>
            <w:r>
              <w:rPr>
                <w:b w:val="0"/>
                <w:i w:val="0"/>
                <w:sz w:val="19"/>
              </w:rPr>
              <w:t>[Law and jurisdiction]</w:t>
            </w:r>
          </w:p>
        </w:tc>
      </w:tr>
      <w:tr>
        <w:tc>
          <w:tcPr>
            <w:tcW w:type="dxa" w:w="4873"/>
          </w:tcPr>
          <w:p>
            <w:pPr>
              <w:spacing w:after="40"/>
            </w:pPr>
            <w:r>
              <w:rPr>
                <w:b/>
                <w:sz w:val="19"/>
              </w:rPr>
              <w:t>Subject matter of the processing</w:t>
            </w:r>
          </w:p>
        </w:tc>
        <w:tc>
          <w:tcPr>
            <w:tcW w:type="dxa" w:w="4873"/>
          </w:tcPr>
          <w:p>
            <w:pPr>
              <w:spacing w:after="40"/>
            </w:pPr>
            <w:r>
              <w:rPr>
                <w:i/>
                <w:sz w:val="19"/>
              </w:rPr>
              <w:t>The services under which personal data is processed, in one sentence.</w:t>
            </w:r>
          </w:p>
        </w:tc>
      </w:tr>
      <w:tr>
        <w:tc>
          <w:tcPr>
            <w:tcW w:type="dxa" w:w="4873"/>
          </w:tcPr>
          <w:p>
            <w:pPr>
              <w:spacing w:after="40"/>
            </w:pPr>
            <w:r>
              <w:rPr>
                <w:b/>
                <w:sz w:val="19"/>
              </w:rPr>
              <w:t>Duration</w:t>
            </w:r>
          </w:p>
        </w:tc>
        <w:tc>
          <w:tcPr>
            <w:tcW w:type="dxa" w:w="4873"/>
          </w:tcPr>
          <w:p>
            <w:pPr>
              <w:spacing w:after="40"/>
            </w:pPr>
            <w:r>
              <w:rPr>
                <w:i/>
                <w:sz w:val="19"/>
              </w:rPr>
              <w:t>Term of the main agreement plus the deletion period.</w:t>
            </w:r>
          </w:p>
        </w:tc>
      </w:tr>
      <w:tr>
        <w:tc>
          <w:tcPr>
            <w:tcW w:type="dxa" w:w="4873"/>
          </w:tcPr>
          <w:p>
            <w:pPr>
              <w:spacing w:after="40"/>
            </w:pPr>
            <w:r>
              <w:rPr>
                <w:b/>
                <w:sz w:val="19"/>
              </w:rPr>
              <w:t>Nature of the processing</w:t>
            </w:r>
          </w:p>
        </w:tc>
        <w:tc>
          <w:tcPr>
            <w:tcW w:type="dxa" w:w="4873"/>
          </w:tcPr>
          <w:p>
            <w:pPr>
              <w:spacing w:after="40"/>
            </w:pPr>
            <w:r>
              <w:rPr>
                <w:i/>
                <w:sz w:val="19"/>
              </w:rPr>
              <w:t>Collection, storage, hosting, analysis, transmission, support access, deletion, as applicable.</w:t>
            </w:r>
          </w:p>
        </w:tc>
      </w:tr>
      <w:tr>
        <w:tc>
          <w:tcPr>
            <w:tcW w:type="dxa" w:w="4873"/>
          </w:tcPr>
          <w:p>
            <w:pPr>
              <w:spacing w:after="40"/>
            </w:pPr>
            <w:r>
              <w:rPr>
                <w:b/>
                <w:sz w:val="19"/>
              </w:rPr>
              <w:t>Purpose of the processing</w:t>
            </w:r>
          </w:p>
        </w:tc>
        <w:tc>
          <w:tcPr>
            <w:tcW w:type="dxa" w:w="4873"/>
          </w:tcPr>
          <w:p>
            <w:pPr>
              <w:spacing w:after="40"/>
            </w:pPr>
            <w:r>
              <w:rPr>
                <w:i/>
                <w:sz w:val="19"/>
              </w:rPr>
              <w:t>What the Controller uses the services for.</w:t>
            </w:r>
          </w:p>
        </w:tc>
      </w:tr>
      <w:tr>
        <w:tc>
          <w:tcPr>
            <w:tcW w:type="dxa" w:w="4873"/>
          </w:tcPr>
          <w:p>
            <w:pPr>
              <w:spacing w:after="40"/>
            </w:pPr>
            <w:r>
              <w:rPr>
                <w:b/>
                <w:sz w:val="19"/>
              </w:rPr>
              <w:t>Types of personal data</w:t>
            </w:r>
          </w:p>
        </w:tc>
        <w:tc>
          <w:tcPr>
            <w:tcW w:type="dxa" w:w="4873"/>
          </w:tcPr>
          <w:p>
            <w:pPr>
              <w:spacing w:after="40"/>
            </w:pPr>
            <w:r>
              <w:rPr>
                <w:i/>
                <w:sz w:val="19"/>
              </w:rPr>
              <w:t>Categories, for example contact details, account identifiers, usage data, content uploaded by users; identify any special categories.</w:t>
            </w:r>
          </w:p>
        </w:tc>
      </w:tr>
      <w:tr>
        <w:tc>
          <w:tcPr>
            <w:tcW w:type="dxa" w:w="4873"/>
          </w:tcPr>
          <w:p>
            <w:pPr>
              <w:spacing w:after="40"/>
            </w:pPr>
            <w:r>
              <w:rPr>
                <w:b/>
                <w:sz w:val="19"/>
              </w:rPr>
              <w:t>Categories of data subjects</w:t>
            </w:r>
          </w:p>
        </w:tc>
        <w:tc>
          <w:tcPr>
            <w:tcW w:type="dxa" w:w="4873"/>
          </w:tcPr>
          <w:p>
            <w:pPr>
              <w:spacing w:after="40"/>
            </w:pPr>
            <w:r>
              <w:rPr>
                <w:i/>
                <w:sz w:val="19"/>
              </w:rPr>
              <w:t>For example the Controller's customers, employees, end users.</w:t>
            </w:r>
          </w:p>
        </w:tc>
      </w:tr>
      <w:tr>
        <w:tc>
          <w:tcPr>
            <w:tcW w:type="dxa" w:w="4873"/>
          </w:tcPr>
          <w:p>
            <w:pPr>
              <w:spacing w:after="40"/>
            </w:pPr>
            <w:r>
              <w:rPr>
                <w:b/>
                <w:sz w:val="19"/>
              </w:rPr>
              <w:t>Permitted uses by the Processor beyond the instructions</w:t>
            </w:r>
          </w:p>
        </w:tc>
        <w:tc>
          <w:tcPr>
            <w:tcW w:type="dxa" w:w="4873"/>
          </w:tcPr>
          <w:p>
            <w:pPr>
              <w:spacing w:after="40"/>
            </w:pPr>
            <w:r>
              <w:rPr>
                <w:i/>
                <w:sz w:val="19"/>
              </w:rPr>
              <w:t>None, or a specific listed use with its basis.</w:t>
            </w:r>
          </w:p>
        </w:tc>
      </w:tr>
      <w:tr>
        <w:tc>
          <w:tcPr>
            <w:tcW w:type="dxa" w:w="4873"/>
          </w:tcPr>
          <w:p>
            <w:pPr>
              <w:spacing w:after="40"/>
            </w:pPr>
            <w:r>
              <w:rPr>
                <w:b/>
                <w:sz w:val="19"/>
              </w:rPr>
              <w:t>Processing locations</w:t>
            </w:r>
          </w:p>
        </w:tc>
        <w:tc>
          <w:tcPr>
            <w:tcW w:type="dxa" w:w="4873"/>
          </w:tcPr>
          <w:p>
            <w:pPr>
              <w:spacing w:after="40"/>
            </w:pPr>
            <w:r>
              <w:rPr>
                <w:i/>
                <w:sz w:val="19"/>
              </w:rPr>
              <w:t>Countries where data is stored, processed, backed up and accessed, including support.</w:t>
            </w:r>
          </w:p>
        </w:tc>
      </w:tr>
      <w:tr>
        <w:tc>
          <w:tcPr>
            <w:tcW w:type="dxa" w:w="4873"/>
          </w:tcPr>
          <w:p>
            <w:pPr>
              <w:spacing w:after="40"/>
            </w:pPr>
            <w:r>
              <w:rPr>
                <w:b/>
                <w:sz w:val="19"/>
              </w:rPr>
              <w:t>Transfer mechanism</w:t>
            </w:r>
          </w:p>
        </w:tc>
        <w:tc>
          <w:tcPr>
            <w:tcW w:type="dxa" w:w="4873"/>
          </w:tcPr>
          <w:p>
            <w:pPr>
              <w:spacing w:after="40"/>
            </w:pPr>
            <w:r>
              <w:rPr>
                <w:i/>
                <w:sz w:val="19"/>
              </w:rPr>
              <w:t>Not applicable, adequacy, standard contractual clauses with module and date, binding corporate rules, other.</w:t>
            </w:r>
          </w:p>
        </w:tc>
      </w:tr>
      <w:tr>
        <w:tc>
          <w:tcPr>
            <w:tcW w:type="dxa" w:w="4873"/>
          </w:tcPr>
          <w:p>
            <w:pPr>
              <w:spacing w:after="40"/>
            </w:pPr>
            <w:r>
              <w:rPr>
                <w:b/>
                <w:sz w:val="19"/>
              </w:rPr>
              <w:t>Controller's instructions</w:t>
            </w:r>
          </w:p>
        </w:tc>
        <w:tc>
          <w:tcPr>
            <w:tcW w:type="dxa" w:w="4873"/>
          </w:tcPr>
          <w:p>
            <w:pPr>
              <w:spacing w:after="40"/>
            </w:pPr>
            <w:r>
              <w:rPr>
                <w:i/>
                <w:sz w:val="19"/>
              </w:rPr>
              <w:t>Any standing instructions beyond the main agreement.</w:t>
            </w:r>
          </w:p>
        </w:tc>
      </w:tr>
    </w:tbl>
    <w:p/>
    <w:p>
      <w:pPr>
        <w:pStyle w:val="Heading1"/>
      </w:pPr>
      <w:r>
        <w:t>Annex 2: Technical and organisational security measures</w:t>
      </w:r>
    </w:p>
    <w:p>
      <w:r>
        <w:rPr>
          <w:i/>
        </w:rPr>
        <w:t>Describe the measures in place, not aspirations. Where the Processor holds a certification or an assurance report, reference it and still describe the measures. Suggested headings: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Area</w:t>
            </w:r>
          </w:p>
        </w:tc>
        <w:tc>
          <w:tcPr>
            <w:tcW w:type="dxa" w:w="4873"/>
            <w:shd w:val="clear" w:color="auto" w:fill="EEF3F8"/>
          </w:tcPr>
          <w:p>
            <w:pPr>
              <w:spacing w:after="40"/>
            </w:pPr>
            <w:r>
              <w:rPr>
                <w:b/>
                <w:i w:val="0"/>
                <w:sz w:val="19"/>
              </w:rPr>
              <w:t>Measures</w:t>
            </w:r>
          </w:p>
        </w:tc>
      </w:tr>
      <w:tr>
        <w:tc>
          <w:tcPr>
            <w:tcW w:type="dxa" w:w="4873"/>
          </w:tcPr>
          <w:p>
            <w:pPr>
              <w:spacing w:after="40"/>
            </w:pPr>
            <w:r>
              <w:rPr>
                <w:b w:val="0"/>
                <w:i w:val="0"/>
                <w:sz w:val="19"/>
              </w:rPr>
              <w:t>Governance and policies</w:t>
            </w:r>
          </w:p>
        </w:tc>
        <w:tc>
          <w:tcPr>
            <w:tcW w:type="dxa" w:w="4873"/>
          </w:tcPr>
          <w:p>
            <w:pPr>
              <w:spacing w:after="40"/>
            </w:pPr>
            <w:r>
              <w:rPr>
                <w:i/>
                <w:sz w:val="19"/>
              </w:rPr>
              <w:t>Security management system, policies, roles, risk assessment.</w:t>
            </w:r>
          </w:p>
        </w:tc>
      </w:tr>
      <w:tr>
        <w:tc>
          <w:tcPr>
            <w:tcW w:type="dxa" w:w="4873"/>
          </w:tcPr>
          <w:p>
            <w:pPr>
              <w:spacing w:after="40"/>
            </w:pPr>
            <w:r>
              <w:rPr>
                <w:b w:val="0"/>
                <w:i w:val="0"/>
                <w:sz w:val="19"/>
              </w:rPr>
              <w:t>Personnel</w:t>
            </w:r>
          </w:p>
        </w:tc>
        <w:tc>
          <w:tcPr>
            <w:tcW w:type="dxa" w:w="4873"/>
          </w:tcPr>
          <w:p>
            <w:pPr>
              <w:spacing w:after="40"/>
            </w:pPr>
            <w:r>
              <w:rPr>
                <w:i/>
                <w:sz w:val="19"/>
              </w:rPr>
              <w:t>Screening, confidentiality, training, disciplinary process.</w:t>
            </w:r>
          </w:p>
        </w:tc>
      </w:tr>
      <w:tr>
        <w:tc>
          <w:tcPr>
            <w:tcW w:type="dxa" w:w="4873"/>
          </w:tcPr>
          <w:p>
            <w:pPr>
              <w:spacing w:after="40"/>
            </w:pPr>
            <w:r>
              <w:rPr>
                <w:b w:val="0"/>
                <w:i w:val="0"/>
                <w:sz w:val="19"/>
              </w:rPr>
              <w:t>Access control</w:t>
            </w:r>
          </w:p>
        </w:tc>
        <w:tc>
          <w:tcPr>
            <w:tcW w:type="dxa" w:w="4873"/>
          </w:tcPr>
          <w:p>
            <w:pPr>
              <w:spacing w:after="40"/>
            </w:pPr>
            <w:r>
              <w:rPr>
                <w:i/>
                <w:sz w:val="19"/>
              </w:rPr>
              <w:t>Identity management, least privilege, multi-factor authentication, privileged access, periodic review, logging of access to personal data.</w:t>
            </w:r>
          </w:p>
        </w:tc>
      </w:tr>
      <w:tr>
        <w:tc>
          <w:tcPr>
            <w:tcW w:type="dxa" w:w="4873"/>
          </w:tcPr>
          <w:p>
            <w:pPr>
              <w:spacing w:after="40"/>
            </w:pPr>
            <w:r>
              <w:rPr>
                <w:b w:val="0"/>
                <w:i w:val="0"/>
                <w:sz w:val="19"/>
              </w:rPr>
              <w:t>Encryption</w:t>
            </w:r>
          </w:p>
        </w:tc>
        <w:tc>
          <w:tcPr>
            <w:tcW w:type="dxa" w:w="4873"/>
          </w:tcPr>
          <w:p>
            <w:pPr>
              <w:spacing w:after="40"/>
            </w:pPr>
            <w:r>
              <w:rPr>
                <w:i/>
                <w:sz w:val="19"/>
              </w:rPr>
              <w:t>In transit, at rest, key management, who holds the keys.</w:t>
            </w:r>
          </w:p>
        </w:tc>
      </w:tr>
      <w:tr>
        <w:tc>
          <w:tcPr>
            <w:tcW w:type="dxa" w:w="4873"/>
          </w:tcPr>
          <w:p>
            <w:pPr>
              <w:spacing w:after="40"/>
            </w:pPr>
            <w:r>
              <w:rPr>
                <w:b w:val="0"/>
                <w:i w:val="0"/>
                <w:sz w:val="19"/>
              </w:rPr>
              <w:t>Pseudonymisation and minimisation</w:t>
            </w:r>
          </w:p>
        </w:tc>
        <w:tc>
          <w:tcPr>
            <w:tcW w:type="dxa" w:w="4873"/>
          </w:tcPr>
          <w:p>
            <w:pPr>
              <w:spacing w:after="40"/>
            </w:pPr>
            <w:r>
              <w:rPr>
                <w:i/>
                <w:sz w:val="19"/>
              </w:rPr>
              <w:t>Where applied.</w:t>
            </w:r>
          </w:p>
        </w:tc>
      </w:tr>
      <w:tr>
        <w:tc>
          <w:tcPr>
            <w:tcW w:type="dxa" w:w="4873"/>
          </w:tcPr>
          <w:p>
            <w:pPr>
              <w:spacing w:after="40"/>
            </w:pPr>
            <w:r>
              <w:rPr>
                <w:b w:val="0"/>
                <w:i w:val="0"/>
                <w:sz w:val="19"/>
              </w:rPr>
              <w:t>Physical security</w:t>
            </w:r>
          </w:p>
        </w:tc>
        <w:tc>
          <w:tcPr>
            <w:tcW w:type="dxa" w:w="4873"/>
          </w:tcPr>
          <w:p>
            <w:pPr>
              <w:spacing w:after="40"/>
            </w:pPr>
            <w:r>
              <w:rPr>
                <w:i/>
                <w:sz w:val="19"/>
              </w:rPr>
              <w:t>Data centre and office controls, or reliance on a hosting provider's controls.</w:t>
            </w:r>
          </w:p>
        </w:tc>
      </w:tr>
      <w:tr>
        <w:tc>
          <w:tcPr>
            <w:tcW w:type="dxa" w:w="4873"/>
          </w:tcPr>
          <w:p>
            <w:pPr>
              <w:spacing w:after="40"/>
            </w:pPr>
            <w:r>
              <w:rPr>
                <w:b w:val="0"/>
                <w:i w:val="0"/>
                <w:sz w:val="19"/>
              </w:rPr>
              <w:t>Operations</w:t>
            </w:r>
          </w:p>
        </w:tc>
        <w:tc>
          <w:tcPr>
            <w:tcW w:type="dxa" w:w="4873"/>
          </w:tcPr>
          <w:p>
            <w:pPr>
              <w:spacing w:after="40"/>
            </w:pPr>
            <w:r>
              <w:rPr>
                <w:i/>
                <w:sz w:val="19"/>
              </w:rPr>
              <w:t>Change management, vulnerability and patch management, malware protection, logging and monitoring, time synchronisation.</w:t>
            </w:r>
          </w:p>
        </w:tc>
      </w:tr>
      <w:tr>
        <w:tc>
          <w:tcPr>
            <w:tcW w:type="dxa" w:w="4873"/>
          </w:tcPr>
          <w:p>
            <w:pPr>
              <w:spacing w:after="40"/>
            </w:pPr>
            <w:r>
              <w:rPr>
                <w:b w:val="0"/>
                <w:i w:val="0"/>
                <w:sz w:val="19"/>
              </w:rPr>
              <w:t>Availability and resilience</w:t>
            </w:r>
          </w:p>
        </w:tc>
        <w:tc>
          <w:tcPr>
            <w:tcW w:type="dxa" w:w="4873"/>
          </w:tcPr>
          <w:p>
            <w:pPr>
              <w:spacing w:after="40"/>
            </w:pPr>
            <w:r>
              <w:rPr>
                <w:i/>
                <w:sz w:val="19"/>
              </w:rPr>
              <w:t>Backups, restore testing, redundancy, continuity plans, recovery objectives.</w:t>
            </w:r>
          </w:p>
        </w:tc>
      </w:tr>
      <w:tr>
        <w:tc>
          <w:tcPr>
            <w:tcW w:type="dxa" w:w="4873"/>
          </w:tcPr>
          <w:p>
            <w:pPr>
              <w:spacing w:after="40"/>
            </w:pPr>
            <w:r>
              <w:rPr>
                <w:b w:val="0"/>
                <w:i w:val="0"/>
                <w:sz w:val="19"/>
              </w:rPr>
              <w:t>Environment separation</w:t>
            </w:r>
          </w:p>
        </w:tc>
        <w:tc>
          <w:tcPr>
            <w:tcW w:type="dxa" w:w="4873"/>
          </w:tcPr>
          <w:p>
            <w:pPr>
              <w:spacing w:after="40"/>
            </w:pPr>
            <w:r>
              <w:rPr>
                <w:i/>
                <w:sz w:val="19"/>
              </w:rPr>
              <w:t>Production separated from test; no production personal data in test.</w:t>
            </w:r>
          </w:p>
        </w:tc>
      </w:tr>
      <w:tr>
        <w:tc>
          <w:tcPr>
            <w:tcW w:type="dxa" w:w="4873"/>
          </w:tcPr>
          <w:p>
            <w:pPr>
              <w:spacing w:after="40"/>
            </w:pPr>
            <w:r>
              <w:rPr>
                <w:b w:val="0"/>
                <w:i w:val="0"/>
                <w:sz w:val="19"/>
              </w:rPr>
              <w:t>Incident management</w:t>
            </w:r>
          </w:p>
        </w:tc>
        <w:tc>
          <w:tcPr>
            <w:tcW w:type="dxa" w:w="4873"/>
          </w:tcPr>
          <w:p>
            <w:pPr>
              <w:spacing w:after="40"/>
            </w:pPr>
            <w:r>
              <w:rPr>
                <w:i/>
                <w:sz w:val="19"/>
              </w:rPr>
              <w:t>Detection, response, breach notification path and timing.</w:t>
            </w:r>
          </w:p>
        </w:tc>
      </w:tr>
      <w:tr>
        <w:tc>
          <w:tcPr>
            <w:tcW w:type="dxa" w:w="4873"/>
          </w:tcPr>
          <w:p>
            <w:pPr>
              <w:spacing w:after="40"/>
            </w:pPr>
            <w:r>
              <w:rPr>
                <w:b w:val="0"/>
                <w:i w:val="0"/>
                <w:sz w:val="19"/>
              </w:rPr>
              <w:t>Supplier management</w:t>
            </w:r>
          </w:p>
        </w:tc>
        <w:tc>
          <w:tcPr>
            <w:tcW w:type="dxa" w:w="4873"/>
          </w:tcPr>
          <w:p>
            <w:pPr>
              <w:spacing w:after="40"/>
            </w:pPr>
            <w:r>
              <w:rPr>
                <w:i/>
                <w:sz w:val="19"/>
              </w:rPr>
              <w:t>How sub-processors are assessed and contracted.</w:t>
            </w:r>
          </w:p>
        </w:tc>
      </w:tr>
      <w:tr>
        <w:tc>
          <w:tcPr>
            <w:tcW w:type="dxa" w:w="4873"/>
          </w:tcPr>
          <w:p>
            <w:pPr>
              <w:spacing w:after="40"/>
            </w:pPr>
            <w:r>
              <w:rPr>
                <w:b w:val="0"/>
                <w:i w:val="0"/>
                <w:sz w:val="19"/>
              </w:rPr>
              <w:t>Data deletion</w:t>
            </w:r>
          </w:p>
        </w:tc>
        <w:tc>
          <w:tcPr>
            <w:tcW w:type="dxa" w:w="4873"/>
          </w:tcPr>
          <w:p>
            <w:pPr>
              <w:spacing w:after="40"/>
            </w:pPr>
            <w:r>
              <w:rPr>
                <w:i/>
                <w:sz w:val="19"/>
              </w:rPr>
              <w:t>Deletion and return process, media disposal, backup expiry.</w:t>
            </w:r>
          </w:p>
        </w:tc>
      </w:tr>
      <w:tr>
        <w:tc>
          <w:tcPr>
            <w:tcW w:type="dxa" w:w="4873"/>
          </w:tcPr>
          <w:p>
            <w:pPr>
              <w:spacing w:after="40"/>
            </w:pPr>
            <w:r>
              <w:rPr>
                <w:b w:val="0"/>
                <w:i w:val="0"/>
                <w:sz w:val="19"/>
              </w:rPr>
              <w:t>Assurance</w:t>
            </w:r>
          </w:p>
        </w:tc>
        <w:tc>
          <w:tcPr>
            <w:tcW w:type="dxa" w:w="4873"/>
          </w:tcPr>
          <w:p>
            <w:pPr>
              <w:spacing w:after="40"/>
            </w:pPr>
            <w:r>
              <w:rPr>
                <w:i/>
                <w:sz w:val="19"/>
              </w:rPr>
              <w:t>Internal audits, penetration tests, certifications, independent reports, with dates.</w:t>
            </w:r>
          </w:p>
        </w:tc>
      </w:tr>
    </w:tbl>
    <w:p/>
    <w:p>
      <w:pPr>
        <w:pStyle w:val="Heading1"/>
      </w:pPr>
      <w:r>
        <w:t>Annex 3: Approved sub-processors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Sub-processor</w:t>
            </w:r>
          </w:p>
        </w:tc>
        <w:tc>
          <w:tcPr>
            <w:tcW w:type="dxa" w:w="1949"/>
            <w:shd w:val="clear" w:color="auto" w:fill="EEF3F8"/>
          </w:tcPr>
          <w:p>
            <w:pPr>
              <w:spacing w:after="40"/>
            </w:pPr>
            <w:r>
              <w:rPr>
                <w:b/>
                <w:i w:val="0"/>
                <w:sz w:val="19"/>
              </w:rPr>
              <w:t>Service provided</w:t>
            </w:r>
          </w:p>
        </w:tc>
        <w:tc>
          <w:tcPr>
            <w:tcW w:type="dxa" w:w="1949"/>
            <w:shd w:val="clear" w:color="auto" w:fill="EEF3F8"/>
          </w:tcPr>
          <w:p>
            <w:pPr>
              <w:spacing w:after="40"/>
            </w:pPr>
            <w:r>
              <w:rPr>
                <w:b/>
                <w:i w:val="0"/>
                <w:sz w:val="19"/>
              </w:rPr>
              <w:t>Processing location</w:t>
            </w:r>
          </w:p>
        </w:tc>
        <w:tc>
          <w:tcPr>
            <w:tcW w:type="dxa" w:w="1949"/>
            <w:shd w:val="clear" w:color="auto" w:fill="EEF3F8"/>
          </w:tcPr>
          <w:p>
            <w:pPr>
              <w:spacing w:after="40"/>
            </w:pPr>
            <w:r>
              <w:rPr>
                <w:b/>
                <w:i w:val="0"/>
                <w:sz w:val="19"/>
              </w:rPr>
              <w:t>Transfer mechanism</w:t>
            </w:r>
          </w:p>
        </w:tc>
        <w:tc>
          <w:tcPr>
            <w:tcW w:type="dxa" w:w="1949"/>
            <w:shd w:val="clear" w:color="auto" w:fill="EEF3F8"/>
          </w:tcPr>
          <w:p>
            <w:pPr>
              <w:spacing w:after="40"/>
            </w:pPr>
            <w:r>
              <w:rPr>
                <w:b/>
                <w:i w:val="0"/>
                <w:sz w:val="19"/>
              </w:rPr>
              <w:t>Date approved</w:t>
            </w:r>
          </w:p>
        </w:tc>
      </w:tr>
      <w:tr>
        <w:tc>
          <w:tcPr>
            <w:tcW w:type="dxa" w:w="1949"/>
          </w:tcPr>
          <w:p>
            <w:pPr>
              <w:spacing w:after="40"/>
            </w:pPr>
            <w:r>
              <w:rPr>
                <w:b w:val="0"/>
                <w:i w:val="0"/>
                <w:sz w:val="19"/>
              </w:rPr>
              <w:t>[Name]</w:t>
            </w:r>
          </w:p>
        </w:tc>
        <w:tc>
          <w:tcPr>
            <w:tcW w:type="dxa" w:w="1949"/>
          </w:tcPr>
          <w:p>
            <w:pPr>
              <w:spacing w:after="40"/>
            </w:pPr>
            <w:r>
              <w:rPr>
                <w:b w:val="0"/>
                <w:i w:val="0"/>
                <w:sz w:val="19"/>
              </w:rPr>
              <w:t>[Service]</w:t>
            </w:r>
          </w:p>
        </w:tc>
        <w:tc>
          <w:tcPr>
            <w:tcW w:type="dxa" w:w="1949"/>
          </w:tcPr>
          <w:p>
            <w:pPr>
              <w:spacing w:after="40"/>
            </w:pPr>
            <w:r>
              <w:rPr>
                <w:b w:val="0"/>
                <w:i w:val="0"/>
                <w:sz w:val="19"/>
              </w:rPr>
              <w:t>[Country]</w:t>
            </w:r>
          </w:p>
        </w:tc>
        <w:tc>
          <w:tcPr>
            <w:tcW w:type="dxa" w:w="1949"/>
          </w:tcPr>
          <w:p>
            <w:pPr>
              <w:spacing w:after="40"/>
            </w:pPr>
            <w:r>
              <w:rPr>
                <w:b w:val="0"/>
                <w:i w:val="0"/>
                <w:sz w:val="19"/>
              </w:rPr>
              <w:t>[Mechanism]</w:t>
            </w:r>
          </w:p>
        </w:tc>
        <w:tc>
          <w:tcPr>
            <w:tcW w:type="dxa" w:w="1949"/>
          </w:tcPr>
          <w:p>
            <w:pPr>
              <w:spacing w:after="40"/>
            </w:pPr>
            <w:r>
              <w:rPr>
                <w:b w:val="0"/>
                <w:i w:val="0"/>
                <w:sz w:val="19"/>
              </w:rPr>
              <w:t>[Date]</w:t>
            </w:r>
          </w:p>
        </w:tc>
      </w:tr>
      <w:tr>
        <w:tc>
          <w:tcPr>
            <w:tcW w:type="dxa" w:w="1949"/>
          </w:tcPr>
          <w:p>
            <w:pPr>
              <w:spacing w:after="40"/>
            </w:pPr>
            <w:r>
              <w:rPr>
                <w:b w:val="0"/>
                <w:i w:val="0"/>
                <w:sz w:val="19"/>
              </w:rPr>
              <w:t>[Name]</w:t>
            </w:r>
          </w:p>
        </w:tc>
        <w:tc>
          <w:tcPr>
            <w:tcW w:type="dxa" w:w="1949"/>
          </w:tcPr>
          <w:p>
            <w:pPr>
              <w:spacing w:after="40"/>
            </w:pPr>
            <w:r>
              <w:rPr>
                <w:b w:val="0"/>
                <w:i w:val="0"/>
                <w:sz w:val="19"/>
              </w:rPr>
              <w:t>[Service]</w:t>
            </w:r>
          </w:p>
        </w:tc>
        <w:tc>
          <w:tcPr>
            <w:tcW w:type="dxa" w:w="1949"/>
          </w:tcPr>
          <w:p>
            <w:pPr>
              <w:spacing w:after="40"/>
            </w:pPr>
            <w:r>
              <w:rPr>
                <w:b w:val="0"/>
                <w:i w:val="0"/>
                <w:sz w:val="19"/>
              </w:rPr>
              <w:t>[Country]</w:t>
            </w:r>
          </w:p>
        </w:tc>
        <w:tc>
          <w:tcPr>
            <w:tcW w:type="dxa" w:w="1949"/>
          </w:tcPr>
          <w:p>
            <w:pPr>
              <w:spacing w:after="40"/>
            </w:pPr>
            <w:r>
              <w:rPr>
                <w:b w:val="0"/>
                <w:i w:val="0"/>
                <w:sz w:val="19"/>
              </w:rPr>
              <w:t>[Mechanism]</w:t>
            </w:r>
          </w:p>
        </w:tc>
        <w:tc>
          <w:tcPr>
            <w:tcW w:type="dxa" w:w="1949"/>
          </w:tcPr>
          <w:p>
            <w:pPr>
              <w:spacing w:after="40"/>
            </w:pPr>
            <w:r>
              <w:rPr>
                <w:b w:val="0"/>
                <w:i w:val="0"/>
                <w:sz w:val="19"/>
              </w:rPr>
              <w:t>[Date]</w:t>
            </w:r>
          </w:p>
        </w:tc>
      </w:tr>
    </w:tbl>
    <w:p/>
    <w:p>
      <w:pPr>
        <w:pStyle w:val="Heading1"/>
      </w:pPr>
      <w:r>
        <w:t>Related documents</w:t>
      </w:r>
    </w:p>
    <w:p>
      <w:pPr>
        <w:pStyle w:val="ListBullet"/>
      </w:pPr>
      <w:r>
        <w:rPr>
          <w:b w:val="0"/>
          <w:i w:val="0"/>
        </w:rPr>
        <w:t>PIMS-PRO-01 Determining controller and processor roles</w:t>
      </w:r>
    </w:p>
    <w:p>
      <w:pPr>
        <w:pStyle w:val="ListBullet"/>
      </w:pPr>
      <w:r>
        <w:rPr>
          <w:b w:val="0"/>
          <w:i w:val="0"/>
        </w:rPr>
        <w:t>PIMS-REG-06 Processor and sub-processor register</w:t>
      </w:r>
    </w:p>
    <w:p>
      <w:pPr>
        <w:pStyle w:val="ListBullet"/>
      </w:pPr>
      <w:r>
        <w:rPr>
          <w:b w:val="0"/>
          <w:i w:val="0"/>
        </w:rPr>
        <w:t>PIMS-POL-03 International transfer policy</w:t>
      </w:r>
    </w:p>
    <w:p>
      <w:pPr>
        <w:pStyle w:val="ListBullet"/>
      </w:pPr>
      <w:r>
        <w:rPr>
          <w:b w:val="0"/>
          <w:i w:val="0"/>
        </w:rPr>
        <w:t>PIMS-PRO-04 Personal data breach assessment and notification procedure</w:t>
      </w:r>
    </w:p>
    <w:p>
      <w:pPr>
        <w:pStyle w:val="ListBullet"/>
      </w:pPr>
      <w:r>
        <w:rPr>
          <w:b w:val="0"/>
          <w:i w:val="0"/>
        </w:rPr>
        <w:t>PIMS-PRO-03 Data subject rights handling procedure</w:t>
      </w:r>
    </w:p>
    <w:p>
      <w:pPr>
        <w:pStyle w:val="ListBullet"/>
      </w:pPr>
      <w:r>
        <w:rPr>
          <w:b w:val="0"/>
          <w:i w:val="0"/>
        </w:rPr>
        <w:t>PIMS-POL-02 Data retention and disposal policy</w:t>
      </w:r>
    </w:p>
    <w:p>
      <w:pPr>
        <w:pStyle w:val="ListBullet"/>
      </w:pPr>
      <w:r>
        <w:rPr>
          <w:b w:val="0"/>
          <w:i w:val="0"/>
        </w:rPr>
        <w:t>GOV-PRO-06 Supplier and third party security procedure</w:t>
      </w:r>
    </w:p>
    <w:p>
      <w:pPr>
        <w:pStyle w:val="ListBullet"/>
      </w:pPr>
      <w:r>
        <w:rPr>
          <w:b w:val="0"/>
          <w:i w:val="0"/>
        </w:rPr>
        <w:t>GOV-TPL-04 Supplier security and privacy questionnaire</w:t>
      </w:r>
    </w:p>
    <w:p>
      <w:pPr>
        <w:pStyle w:val="ListBullet"/>
      </w:pPr>
      <w:r>
        <w:rPr>
          <w:b w:val="0"/>
          <w:i w:val="0"/>
        </w:rPr>
        <w:t>GDPR-TPL-09 Supplier GDPR assessment questionnaire</w:t>
      </w:r>
    </w:p>
    <w:p>
      <w:pPr>
        <w:pStyle w:val="ListBullet"/>
      </w:pPr>
      <w:r>
        <w:rPr>
          <w:b w:val="0"/>
          <w:i w:val="0"/>
        </w:rPr>
        <w:t>GDPR-TPL-08 Transfer impact assessment template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PIMS-TPL-02  |  Data processing agreement template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