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GOV-PRO-11</w:t>
      </w:r>
    </w:p>
    <w:p>
      <w:r>
        <w:rPr>
          <w:b/>
          <w:color w:val="0B2D4D"/>
          <w:sz w:val="44"/>
        </w:rPr>
        <w:t>Vulnerability and Patch Management Procedure</w:t>
      </w:r>
    </w:p>
    <w:p>
      <w:r>
        <w:rPr>
          <w:i/>
          <w:color w:val="526478"/>
        </w:rPr>
        <w:t>How technical vulnerabilities in [Organisation]'s systems are discovered, rated, assigned, fixed within a severity-based deadline, verified and reported.</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GOV-PRO-11</w:t>
            </w:r>
          </w:p>
        </w:tc>
      </w:tr>
      <w:tr>
        <w:tc>
          <w:tcPr>
            <w:tcW w:type="dxa" w:w="2551"/>
            <w:shd w:val="clear" w:color="auto" w:fill="EEF3F8"/>
          </w:tcPr>
          <w:p>
            <w:pPr>
              <w:spacing w:after="40"/>
            </w:pPr>
            <w:r>
              <w:rPr>
                <w:b/>
                <w:sz w:val="19"/>
              </w:rPr>
              <w:t>Title</w:t>
            </w:r>
          </w:p>
        </w:tc>
        <w:tc>
          <w:tcPr>
            <w:tcW w:type="dxa" w:w="6803"/>
          </w:tcPr>
          <w:p>
            <w:pPr>
              <w:spacing w:after="40"/>
            </w:pPr>
            <w:r>
              <w:rPr>
                <w:sz w:val="19"/>
              </w:rPr>
              <w:t>Vulnerability and Patch Management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Annex A 8.8; SOC 2 CC7.1</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finds technical vulnerabilities in [Organisation]'s systems before an attacker uses them, and fixes them within a deadline set by severity, with evidence that the fix worked.</w:t>
      </w:r>
    </w:p>
    <w:p>
      <w:pPr>
        <w:pStyle w:val="Heading1"/>
      </w:pPr>
      <w:r>
        <w:t>2. Scope</w:t>
      </w:r>
    </w:p>
    <w:p>
      <w:r>
        <w:rPr>
          <w:b w:val="0"/>
          <w:i w:val="0"/>
        </w:rPr>
        <w:t>It applies to every asset in GOV-REG-24 and GOV-REG-10 that runs software: servers, virtual machines, containers and their images, cloud services and their configuration, network devices, workstations and mobile devices, application code and its third party components, and software as a service that [Organisation] administers. Supplier-hosted systems are covered through the supplier's obligations under GOV-PRO-06; this procedure governs how [Organisation] tracks the supplier's remediation.</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Owns the programme, runs or commissions scanning, triages findings, assigns owners, approves severity adjustments and reports the metrics.</w:t>
            </w:r>
          </w:p>
        </w:tc>
      </w:tr>
      <w:tr>
        <w:tc>
          <w:tcPr>
            <w:tcW w:type="dxa" w:w="4873"/>
          </w:tcPr>
          <w:p>
            <w:pPr>
              <w:spacing w:after="40"/>
            </w:pPr>
            <w:r>
              <w:rPr>
                <w:b w:val="0"/>
                <w:i w:val="0"/>
                <w:sz w:val="19"/>
              </w:rPr>
              <w:t>System Owner</w:t>
            </w:r>
          </w:p>
        </w:tc>
        <w:tc>
          <w:tcPr>
            <w:tcW w:type="dxa" w:w="4873"/>
          </w:tcPr>
          <w:p>
            <w:pPr>
              <w:spacing w:after="40"/>
            </w:pPr>
            <w:r>
              <w:rPr>
                <w:b w:val="0"/>
                <w:i w:val="0"/>
                <w:sz w:val="19"/>
              </w:rPr>
              <w:t>Remediates findings on their systems within the deadline, or requests an exception before the deadline passes.</w:t>
            </w:r>
          </w:p>
        </w:tc>
      </w:tr>
      <w:tr>
        <w:tc>
          <w:tcPr>
            <w:tcW w:type="dxa" w:w="4873"/>
          </w:tcPr>
          <w:p>
            <w:pPr>
              <w:spacing w:after="40"/>
            </w:pPr>
            <w:r>
              <w:rPr>
                <w:b w:val="0"/>
                <w:i w:val="0"/>
                <w:sz w:val="19"/>
              </w:rPr>
              <w:t>Head of Engineering</w:t>
            </w:r>
          </w:p>
        </w:tc>
        <w:tc>
          <w:tcPr>
            <w:tcW w:type="dxa" w:w="4873"/>
          </w:tcPr>
          <w:p>
            <w:pPr>
              <w:spacing w:after="40"/>
            </w:pPr>
            <w:r>
              <w:rPr>
                <w:b w:val="0"/>
                <w:i w:val="0"/>
                <w:sz w:val="19"/>
              </w:rPr>
              <w:t>Provides patching capacity and approves emergency patch changes.</w:t>
            </w:r>
          </w:p>
        </w:tc>
      </w:tr>
      <w:tr>
        <w:tc>
          <w:tcPr>
            <w:tcW w:type="dxa" w:w="4873"/>
          </w:tcPr>
          <w:p>
            <w:pPr>
              <w:spacing w:after="40"/>
            </w:pPr>
            <w:r>
              <w:rPr>
                <w:b w:val="0"/>
                <w:i w:val="0"/>
                <w:sz w:val="19"/>
              </w:rPr>
              <w:t>Platform and endpoint administrators</w:t>
            </w:r>
          </w:p>
        </w:tc>
        <w:tc>
          <w:tcPr>
            <w:tcW w:type="dxa" w:w="4873"/>
          </w:tcPr>
          <w:p>
            <w:pPr>
              <w:spacing w:after="40"/>
            </w:pPr>
            <w:r>
              <w:rPr>
                <w:b w:val="0"/>
                <w:i w:val="0"/>
                <w:sz w:val="19"/>
              </w:rPr>
              <w:t>Apply operating system, platform and endpoint updates on the cycle in 4.7.</w:t>
            </w:r>
          </w:p>
        </w:tc>
      </w:tr>
      <w:tr>
        <w:tc>
          <w:tcPr>
            <w:tcW w:type="dxa" w:w="4873"/>
          </w:tcPr>
          <w:p>
            <w:pPr>
              <w:spacing w:after="40"/>
            </w:pPr>
            <w:r>
              <w:rPr>
                <w:b w:val="0"/>
                <w:i w:val="0"/>
                <w:sz w:val="19"/>
              </w:rPr>
              <w:t>Developers</w:t>
            </w:r>
          </w:p>
        </w:tc>
        <w:tc>
          <w:tcPr>
            <w:tcW w:type="dxa" w:w="4873"/>
          </w:tcPr>
          <w:p>
            <w:pPr>
              <w:spacing w:after="40"/>
            </w:pPr>
            <w:r>
              <w:rPr>
                <w:b w:val="0"/>
                <w:i w:val="0"/>
                <w:sz w:val="19"/>
              </w:rPr>
              <w:t>Fix code and dependency findings through GOV-PRO-15.</w:t>
            </w:r>
          </w:p>
        </w:tc>
      </w:tr>
    </w:tbl>
    <w:p/>
    <w:p>
      <w:pPr>
        <w:pStyle w:val="Heading1"/>
      </w:pPr>
      <w:r>
        <w:t>4. Procedure</w:t>
      </w:r>
    </w:p>
    <w:p>
      <w:r>
        <w:rPr>
          <w:b w:val="0"/>
          <w:i w:val="0"/>
        </w:rPr>
        <w:t xml:space="preserve">4.1 </w:t>
      </w:r>
      <w:r>
        <w:rPr>
          <w:b/>
        </w:rPr>
        <w:t>Coverage.</w:t>
      </w:r>
      <w:r>
        <w:rPr>
          <w:b w:val="0"/>
          <w:i w:val="0"/>
        </w:rPr>
        <w:t xml:space="preserve"> The Information Security Manager assigns every asset class in GOV-REG-24 a discovery method and cadence from the table in 4.3, and confirms quarterly that every production asset appears in at least one scan or inventory report from the period. An asset with no discovery method is itself recorded as a finding.</w:t>
      </w:r>
    </w:p>
    <w:p>
      <w:r>
        <w:rPr>
          <w:b w:val="0"/>
          <w:i w:val="0"/>
        </w:rPr>
        <w:t xml:space="preserve">4.2 </w:t>
      </w:r>
      <w:r>
        <w:rPr>
          <w:b/>
        </w:rPr>
        <w:t>Sources.</w:t>
      </w:r>
      <w:r>
        <w:rPr>
          <w:b w:val="0"/>
          <w:i w:val="0"/>
        </w:rPr>
        <w:t xml:space="preserve"> Findings come from authenticated vulnerability scans of hosts and network devices, container image and cloud configuration scans, dependency analysis in build pipelines (GOV-PRO-15), vendor and provider security advisories, threat intelligence and external reports handled under GOV-PRO-27, penetration tests, and incident investigations. Every source feeds the same register, GOV-REG-14.</w:t>
      </w:r>
    </w:p>
    <w:p>
      <w:r>
        <w:rPr>
          <w:b w:val="0"/>
          <w:i w:val="0"/>
        </w:rPr>
        <w:t xml:space="preserve">4.3 </w:t>
      </w:r>
      <w:r>
        <w:rPr>
          <w:b/>
        </w:rPr>
        <w:t>Cadence by asset class.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Asset class</w:t>
            </w:r>
          </w:p>
        </w:tc>
        <w:tc>
          <w:tcPr>
            <w:tcW w:type="dxa" w:w="3249"/>
            <w:shd w:val="clear" w:color="auto" w:fill="EEF3F8"/>
          </w:tcPr>
          <w:p>
            <w:pPr>
              <w:spacing w:after="40"/>
            </w:pPr>
            <w:r>
              <w:rPr>
                <w:b/>
                <w:i w:val="0"/>
                <w:sz w:val="19"/>
              </w:rPr>
              <w:t>Method</w:t>
            </w:r>
          </w:p>
        </w:tc>
        <w:tc>
          <w:tcPr>
            <w:tcW w:type="dxa" w:w="3249"/>
            <w:shd w:val="clear" w:color="auto" w:fill="EEF3F8"/>
          </w:tcPr>
          <w:p>
            <w:pPr>
              <w:spacing w:after="40"/>
            </w:pPr>
            <w:r>
              <w:rPr>
                <w:b/>
                <w:i w:val="0"/>
                <w:sz w:val="19"/>
              </w:rPr>
              <w:t>Minimum cadence</w:t>
            </w:r>
          </w:p>
        </w:tc>
      </w:tr>
      <w:tr>
        <w:tc>
          <w:tcPr>
            <w:tcW w:type="dxa" w:w="3249"/>
          </w:tcPr>
          <w:p>
            <w:pPr>
              <w:spacing w:after="40"/>
            </w:pPr>
            <w:r>
              <w:rPr>
                <w:b w:val="0"/>
                <w:i w:val="0"/>
                <w:sz w:val="19"/>
              </w:rPr>
              <w:t>Internet-facing hosts and services</w:t>
            </w:r>
          </w:p>
        </w:tc>
        <w:tc>
          <w:tcPr>
            <w:tcW w:type="dxa" w:w="3249"/>
          </w:tcPr>
          <w:p>
            <w:pPr>
              <w:spacing w:after="40"/>
            </w:pPr>
            <w:r>
              <w:rPr>
                <w:b w:val="0"/>
                <w:i w:val="0"/>
                <w:sz w:val="19"/>
              </w:rPr>
              <w:t>Authenticated and unauthenticated scan</w:t>
            </w:r>
          </w:p>
        </w:tc>
        <w:tc>
          <w:tcPr>
            <w:tcW w:type="dxa" w:w="3249"/>
          </w:tcPr>
          <w:p>
            <w:pPr>
              <w:spacing w:after="40"/>
            </w:pPr>
            <w:r>
              <w:rPr>
                <w:b w:val="0"/>
                <w:i w:val="0"/>
                <w:sz w:val="19"/>
              </w:rPr>
              <w:t>Weekly</w:t>
            </w:r>
          </w:p>
        </w:tc>
      </w:tr>
      <w:tr>
        <w:tc>
          <w:tcPr>
            <w:tcW w:type="dxa" w:w="3249"/>
          </w:tcPr>
          <w:p>
            <w:pPr>
              <w:spacing w:after="40"/>
            </w:pPr>
            <w:r>
              <w:rPr>
                <w:b w:val="0"/>
                <w:i w:val="0"/>
                <w:sz w:val="19"/>
              </w:rPr>
              <w:t>Internal servers, virtual machines and cloud workloads</w:t>
            </w:r>
          </w:p>
        </w:tc>
        <w:tc>
          <w:tcPr>
            <w:tcW w:type="dxa" w:w="3249"/>
          </w:tcPr>
          <w:p>
            <w:pPr>
              <w:spacing w:after="40"/>
            </w:pPr>
            <w:r>
              <w:rPr>
                <w:b w:val="0"/>
                <w:i w:val="0"/>
                <w:sz w:val="19"/>
              </w:rPr>
              <w:t>Authenticated scan</w:t>
            </w:r>
          </w:p>
        </w:tc>
        <w:tc>
          <w:tcPr>
            <w:tcW w:type="dxa" w:w="3249"/>
          </w:tcPr>
          <w:p>
            <w:pPr>
              <w:spacing w:after="40"/>
            </w:pPr>
            <w:r>
              <w:rPr>
                <w:b w:val="0"/>
                <w:i w:val="0"/>
                <w:sz w:val="19"/>
              </w:rPr>
              <w:t>Monthly</w:t>
            </w:r>
          </w:p>
        </w:tc>
      </w:tr>
      <w:tr>
        <w:tc>
          <w:tcPr>
            <w:tcW w:type="dxa" w:w="3249"/>
          </w:tcPr>
          <w:p>
            <w:pPr>
              <w:spacing w:after="40"/>
            </w:pPr>
            <w:r>
              <w:rPr>
                <w:b w:val="0"/>
                <w:i w:val="0"/>
                <w:sz w:val="19"/>
              </w:rPr>
              <w:t>Container images</w:t>
            </w:r>
          </w:p>
        </w:tc>
        <w:tc>
          <w:tcPr>
            <w:tcW w:type="dxa" w:w="3249"/>
          </w:tcPr>
          <w:p>
            <w:pPr>
              <w:spacing w:after="40"/>
            </w:pPr>
            <w:r>
              <w:rPr>
                <w:b w:val="0"/>
                <w:i w:val="0"/>
                <w:sz w:val="19"/>
              </w:rPr>
              <w:t>Image scan</w:t>
            </w:r>
          </w:p>
        </w:tc>
        <w:tc>
          <w:tcPr>
            <w:tcW w:type="dxa" w:w="3249"/>
          </w:tcPr>
          <w:p>
            <w:pPr>
              <w:spacing w:after="40"/>
            </w:pPr>
            <w:r>
              <w:rPr>
                <w:b w:val="0"/>
                <w:i w:val="0"/>
                <w:sz w:val="19"/>
              </w:rPr>
              <w:t>Every build, and weekly for images running in production</w:t>
            </w:r>
          </w:p>
        </w:tc>
      </w:tr>
      <w:tr>
        <w:tc>
          <w:tcPr>
            <w:tcW w:type="dxa" w:w="3249"/>
          </w:tcPr>
          <w:p>
            <w:pPr>
              <w:spacing w:after="40"/>
            </w:pPr>
            <w:r>
              <w:rPr>
                <w:b w:val="0"/>
                <w:i w:val="0"/>
                <w:sz w:val="19"/>
              </w:rPr>
              <w:t>Application dependencies</w:t>
            </w:r>
          </w:p>
        </w:tc>
        <w:tc>
          <w:tcPr>
            <w:tcW w:type="dxa" w:w="3249"/>
          </w:tcPr>
          <w:p>
            <w:pPr>
              <w:spacing w:after="40"/>
            </w:pPr>
            <w:r>
              <w:rPr>
                <w:b w:val="0"/>
                <w:i w:val="0"/>
                <w:sz w:val="19"/>
              </w:rPr>
              <w:t>Dependency analysis</w:t>
            </w:r>
          </w:p>
        </w:tc>
        <w:tc>
          <w:tcPr>
            <w:tcW w:type="dxa" w:w="3249"/>
          </w:tcPr>
          <w:p>
            <w:pPr>
              <w:spacing w:after="40"/>
            </w:pPr>
            <w:r>
              <w:rPr>
                <w:b w:val="0"/>
                <w:i w:val="0"/>
                <w:sz w:val="19"/>
              </w:rPr>
              <w:t>Every build</w:t>
            </w:r>
          </w:p>
        </w:tc>
      </w:tr>
      <w:tr>
        <w:tc>
          <w:tcPr>
            <w:tcW w:type="dxa" w:w="3249"/>
          </w:tcPr>
          <w:p>
            <w:pPr>
              <w:spacing w:after="40"/>
            </w:pPr>
            <w:r>
              <w:rPr>
                <w:b w:val="0"/>
                <w:i w:val="0"/>
                <w:sz w:val="19"/>
              </w:rPr>
              <w:t>Cloud account configuration</w:t>
            </w:r>
          </w:p>
        </w:tc>
        <w:tc>
          <w:tcPr>
            <w:tcW w:type="dxa" w:w="3249"/>
          </w:tcPr>
          <w:p>
            <w:pPr>
              <w:spacing w:after="40"/>
            </w:pPr>
            <w:r>
              <w:rPr>
                <w:b w:val="0"/>
                <w:i w:val="0"/>
                <w:sz w:val="19"/>
              </w:rPr>
              <w:t>Configuration assessment</w:t>
            </w:r>
          </w:p>
        </w:tc>
        <w:tc>
          <w:tcPr>
            <w:tcW w:type="dxa" w:w="3249"/>
          </w:tcPr>
          <w:p>
            <w:pPr>
              <w:spacing w:after="40"/>
            </w:pPr>
            <w:r>
              <w:rPr>
                <w:b w:val="0"/>
                <w:i w:val="0"/>
                <w:sz w:val="19"/>
              </w:rPr>
              <w:t>Continuous, or at least weekly</w:t>
            </w:r>
          </w:p>
        </w:tc>
      </w:tr>
      <w:tr>
        <w:tc>
          <w:tcPr>
            <w:tcW w:type="dxa" w:w="3249"/>
          </w:tcPr>
          <w:p>
            <w:pPr>
              <w:spacing w:after="40"/>
            </w:pPr>
            <w:r>
              <w:rPr>
                <w:b w:val="0"/>
                <w:i w:val="0"/>
                <w:sz w:val="19"/>
              </w:rPr>
              <w:t>Workstations and mobile devices</w:t>
            </w:r>
          </w:p>
        </w:tc>
        <w:tc>
          <w:tcPr>
            <w:tcW w:type="dxa" w:w="3249"/>
          </w:tcPr>
          <w:p>
            <w:pPr>
              <w:spacing w:after="40"/>
            </w:pPr>
            <w:r>
              <w:rPr>
                <w:b w:val="0"/>
                <w:i w:val="0"/>
                <w:sz w:val="19"/>
              </w:rPr>
              <w:t>Device management compliance report</w:t>
            </w:r>
          </w:p>
        </w:tc>
        <w:tc>
          <w:tcPr>
            <w:tcW w:type="dxa" w:w="3249"/>
          </w:tcPr>
          <w:p>
            <w:pPr>
              <w:spacing w:after="40"/>
            </w:pPr>
            <w:r>
              <w:rPr>
                <w:b w:val="0"/>
                <w:i w:val="0"/>
                <w:sz w:val="19"/>
              </w:rPr>
              <w:t>Monthly</w:t>
            </w:r>
          </w:p>
        </w:tc>
      </w:tr>
      <w:tr>
        <w:tc>
          <w:tcPr>
            <w:tcW w:type="dxa" w:w="3249"/>
          </w:tcPr>
          <w:p>
            <w:pPr>
              <w:spacing w:after="40"/>
            </w:pPr>
            <w:r>
              <w:rPr>
                <w:b w:val="0"/>
                <w:i w:val="0"/>
                <w:sz w:val="19"/>
              </w:rPr>
              <w:t>Network devices</w:t>
            </w:r>
          </w:p>
        </w:tc>
        <w:tc>
          <w:tcPr>
            <w:tcW w:type="dxa" w:w="3249"/>
          </w:tcPr>
          <w:p>
            <w:pPr>
              <w:spacing w:after="40"/>
            </w:pPr>
            <w:r>
              <w:rPr>
                <w:b w:val="0"/>
                <w:i w:val="0"/>
                <w:sz w:val="19"/>
              </w:rPr>
              <w:t>Authenticated scan or configuration review</w:t>
            </w:r>
          </w:p>
        </w:tc>
        <w:tc>
          <w:tcPr>
            <w:tcW w:type="dxa" w:w="3249"/>
          </w:tcPr>
          <w:p>
            <w:pPr>
              <w:spacing w:after="40"/>
            </w:pPr>
            <w:r>
              <w:rPr>
                <w:b w:val="0"/>
                <w:i w:val="0"/>
                <w:sz w:val="19"/>
              </w:rPr>
              <w:t>Quarterly</w:t>
            </w:r>
          </w:p>
        </w:tc>
      </w:tr>
      <w:tr>
        <w:tc>
          <w:tcPr>
            <w:tcW w:type="dxa" w:w="3249"/>
          </w:tcPr>
          <w:p>
            <w:pPr>
              <w:spacing w:after="40"/>
            </w:pPr>
            <w:r>
              <w:rPr>
                <w:b w:val="0"/>
                <w:i w:val="0"/>
                <w:sz w:val="19"/>
              </w:rPr>
              <w:t>Whole environment</w:t>
            </w:r>
          </w:p>
        </w:tc>
        <w:tc>
          <w:tcPr>
            <w:tcW w:type="dxa" w:w="3249"/>
          </w:tcPr>
          <w:p>
            <w:pPr>
              <w:spacing w:after="40"/>
            </w:pPr>
            <w:r>
              <w:rPr>
                <w:b w:val="0"/>
                <w:i w:val="0"/>
                <w:sz w:val="19"/>
              </w:rPr>
              <w:t>Penetration test</w:t>
            </w:r>
          </w:p>
        </w:tc>
        <w:tc>
          <w:tcPr>
            <w:tcW w:type="dxa" w:w="3249"/>
          </w:tcPr>
          <w:p>
            <w:pPr>
              <w:spacing w:after="40"/>
            </w:pPr>
            <w:r>
              <w:rPr>
                <w:b w:val="0"/>
                <w:i w:val="0"/>
                <w:sz w:val="19"/>
              </w:rPr>
              <w:t>Annually, and before go-live of a new internet-facing service</w:t>
            </w:r>
          </w:p>
        </w:tc>
      </w:tr>
    </w:tbl>
    <w:p/>
    <w:p>
      <w:r>
        <w:rPr>
          <w:b w:val="0"/>
          <w:i w:val="0"/>
        </w:rPr>
        <w:t xml:space="preserve">4.4 </w:t>
      </w:r>
      <w:r>
        <w:rPr>
          <w:b/>
        </w:rPr>
        <w:t>Triage and severity.</w:t>
      </w:r>
      <w:r>
        <w:rPr>
          <w:b w:val="0"/>
          <w:i w:val="0"/>
        </w:rPr>
        <w:t xml:space="preserve"> The Information Security Manager, or a delegate, reviews new findings within two working days, removes confirmed false positives with a written reason, and assigns a severity from the CVSS base score: Critical 9.0 to 10.0, High 7.0 to 8.9, Medium 4.0 to 6.9, Low 0.1 to 3.9. The severity is raised one band when the asset is internet-facing and holds Confidential or Restricted data, or when exploitation in the wild is reported. It is lowered one band only with a written justification approved by the Information Security Manager.</w:t>
      </w:r>
    </w:p>
    <w:p>
      <w:r>
        <w:rPr>
          <w:b w:val="0"/>
          <w:i w:val="0"/>
        </w:rPr>
        <w:t xml:space="preserve">4.5 </w:t>
      </w:r>
      <w:r>
        <w:rPr>
          <w:b/>
        </w:rPr>
        <w:t>Deadlines.</w:t>
      </w:r>
      <w:r>
        <w:rPr>
          <w:b w:val="0"/>
          <w:i w:val="0"/>
        </w:rPr>
        <w:t xml:space="preserve"> The found date is the date the source first reported the finding, not the date of triage. GOV-REG-14 calculates the deadline from severity and found date.</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Severity</w:t>
            </w:r>
          </w:p>
        </w:tc>
        <w:tc>
          <w:tcPr>
            <w:tcW w:type="dxa" w:w="4873"/>
            <w:shd w:val="clear" w:color="auto" w:fill="EEF3F8"/>
          </w:tcPr>
          <w:p>
            <w:pPr>
              <w:spacing w:after="40"/>
            </w:pPr>
            <w:r>
              <w:rPr>
                <w:b/>
                <w:i w:val="0"/>
                <w:sz w:val="19"/>
              </w:rPr>
              <w:t>Fix deadline</w:t>
            </w:r>
          </w:p>
        </w:tc>
      </w:tr>
      <w:tr>
        <w:tc>
          <w:tcPr>
            <w:tcW w:type="dxa" w:w="4873"/>
          </w:tcPr>
          <w:p>
            <w:pPr>
              <w:spacing w:after="40"/>
            </w:pPr>
            <w:r>
              <w:rPr>
                <w:b w:val="0"/>
                <w:i w:val="0"/>
                <w:sz w:val="19"/>
              </w:rPr>
              <w:t>Critical</w:t>
            </w:r>
          </w:p>
        </w:tc>
        <w:tc>
          <w:tcPr>
            <w:tcW w:type="dxa" w:w="4873"/>
          </w:tcPr>
          <w:p>
            <w:pPr>
              <w:spacing w:after="40"/>
            </w:pPr>
            <w:r>
              <w:rPr>
                <w:b w:val="0"/>
                <w:i w:val="0"/>
                <w:sz w:val="19"/>
              </w:rPr>
              <w:t>7 calendar days</w:t>
            </w:r>
          </w:p>
        </w:tc>
      </w:tr>
      <w:tr>
        <w:tc>
          <w:tcPr>
            <w:tcW w:type="dxa" w:w="4873"/>
          </w:tcPr>
          <w:p>
            <w:pPr>
              <w:spacing w:after="40"/>
            </w:pPr>
            <w:r>
              <w:rPr>
                <w:b w:val="0"/>
                <w:i w:val="0"/>
                <w:sz w:val="19"/>
              </w:rPr>
              <w:t>High</w:t>
            </w:r>
          </w:p>
        </w:tc>
        <w:tc>
          <w:tcPr>
            <w:tcW w:type="dxa" w:w="4873"/>
          </w:tcPr>
          <w:p>
            <w:pPr>
              <w:spacing w:after="40"/>
            </w:pPr>
            <w:r>
              <w:rPr>
                <w:b w:val="0"/>
                <w:i w:val="0"/>
                <w:sz w:val="19"/>
              </w:rPr>
              <w:t>30 calendar days</w:t>
            </w:r>
          </w:p>
        </w:tc>
      </w:tr>
      <w:tr>
        <w:tc>
          <w:tcPr>
            <w:tcW w:type="dxa" w:w="4873"/>
          </w:tcPr>
          <w:p>
            <w:pPr>
              <w:spacing w:after="40"/>
            </w:pPr>
            <w:r>
              <w:rPr>
                <w:b w:val="0"/>
                <w:i w:val="0"/>
                <w:sz w:val="19"/>
              </w:rPr>
              <w:t>Medium</w:t>
            </w:r>
          </w:p>
        </w:tc>
        <w:tc>
          <w:tcPr>
            <w:tcW w:type="dxa" w:w="4873"/>
          </w:tcPr>
          <w:p>
            <w:pPr>
              <w:spacing w:after="40"/>
            </w:pPr>
            <w:r>
              <w:rPr>
                <w:b w:val="0"/>
                <w:i w:val="0"/>
                <w:sz w:val="19"/>
              </w:rPr>
              <w:t>90 calendar days</w:t>
            </w:r>
          </w:p>
        </w:tc>
      </w:tr>
      <w:tr>
        <w:tc>
          <w:tcPr>
            <w:tcW w:type="dxa" w:w="4873"/>
          </w:tcPr>
          <w:p>
            <w:pPr>
              <w:spacing w:after="40"/>
            </w:pPr>
            <w:r>
              <w:rPr>
                <w:b w:val="0"/>
                <w:i w:val="0"/>
                <w:sz w:val="19"/>
              </w:rPr>
              <w:t>Low</w:t>
            </w:r>
          </w:p>
        </w:tc>
        <w:tc>
          <w:tcPr>
            <w:tcW w:type="dxa" w:w="4873"/>
          </w:tcPr>
          <w:p>
            <w:pPr>
              <w:spacing w:after="40"/>
            </w:pPr>
            <w:r>
              <w:rPr>
                <w:b w:val="0"/>
                <w:i w:val="0"/>
                <w:sz w:val="19"/>
              </w:rPr>
              <w:t>Next scheduled maintenance cycle, and no later than 180 calendar days</w:t>
            </w:r>
          </w:p>
        </w:tc>
      </w:tr>
    </w:tbl>
    <w:p/>
    <w:p>
      <w:r>
        <w:rPr>
          <w:b w:val="0"/>
          <w:i w:val="0"/>
        </w:rPr>
        <w:t>A finding under active exploitation on an internet-facing asset is assessed within 24 hours and mitigated within 72 hours by patch, configuration change or removal of exposure, whichever is fastest.</w:t>
      </w:r>
    </w:p>
    <w:p>
      <w:r>
        <w:rPr>
          <w:b w:val="0"/>
          <w:i w:val="0"/>
        </w:rPr>
        <w:t xml:space="preserve">4.6 </w:t>
      </w:r>
      <w:r>
        <w:rPr>
          <w:b/>
        </w:rPr>
        <w:t>Remediation.</w:t>
      </w:r>
      <w:r>
        <w:rPr>
          <w:b w:val="0"/>
          <w:i w:val="0"/>
        </w:rPr>
        <w:t xml:space="preserve"> The System Owner fixes the finding by patch, upgrade, configuration change or removal of the vulnerable component, through a change under GOV-PRO-09. Critical and actively exploited findings may use the emergency change path. Where no fix exists, the owner applies a compensating control (network restriction, feature disablement, additional monitoring) and records it against the finding.</w:t>
      </w:r>
    </w:p>
    <w:p>
      <w:r>
        <w:rPr>
          <w:b w:val="0"/>
          <w:i w:val="0"/>
        </w:rPr>
        <w:t xml:space="preserve">4.7 </w:t>
      </w:r>
      <w:r>
        <w:rPr>
          <w:b/>
        </w:rPr>
        <w:t>Routine patching cycle.</w:t>
      </w:r>
      <w:r>
        <w:rPr>
          <w:b w:val="0"/>
          <w:i w:val="0"/>
        </w:rPr>
        <w:t xml:space="preserve"> Administrators apply operating system and platform updates at least monthly, and endpoint updates automatically as they are released (GOV-PRO-22). A system that cannot receive updates because it is out of vendor support is recorded in GOV-REG-24 with its end of support date and a replacement plan, and is isolated on the network until replaced (GOV-PRO-21).</w:t>
      </w:r>
    </w:p>
    <w:p>
      <w:r>
        <w:rPr>
          <w:b w:val="0"/>
          <w:i w:val="0"/>
        </w:rPr>
        <w:t xml:space="preserve">4.8 </w:t>
      </w:r>
      <w:r>
        <w:rPr>
          <w:b/>
        </w:rPr>
        <w:t>Exceptions.</w:t>
      </w:r>
      <w:r>
        <w:rPr>
          <w:b w:val="0"/>
          <w:i w:val="0"/>
        </w:rPr>
        <w:t xml:space="preserve"> When a deadline cannot be met, the System Owner raises a risk acceptance under GOV-PRO-24 before the deadline passes, naming the compensating controls and an expiry no more than twelve months away. The exception reference is recorded in GOV-REG-14. An overdue finding without an approved exception is reported to the Head of Engineering weekly until fixed.</w:t>
      </w:r>
    </w:p>
    <w:p>
      <w:r>
        <w:rPr>
          <w:b w:val="0"/>
          <w:i w:val="0"/>
        </w:rPr>
        <w:t xml:space="preserve">4.9 </w:t>
      </w:r>
      <w:r>
        <w:rPr>
          <w:b/>
        </w:rPr>
        <w:t>Verification.</w:t>
      </w:r>
      <w:r>
        <w:rPr>
          <w:b w:val="0"/>
          <w:i w:val="0"/>
        </w:rPr>
        <w:t xml:space="preserve"> A finding moves to Fixed only when a rescan shows it absent, or when the Information Security Manager confirms the fix by inspection where a rescan is not possible. The verifier and date are recorded. A finding that reappears is reopened with its original found date.</w:t>
      </w:r>
    </w:p>
    <w:p>
      <w:r>
        <w:rPr>
          <w:b w:val="0"/>
          <w:i w:val="0"/>
        </w:rPr>
        <w:t xml:space="preserve">4.10 </w:t>
      </w:r>
      <w:r>
        <w:rPr>
          <w:b/>
        </w:rPr>
        <w:t>Metrics.</w:t>
      </w:r>
      <w:r>
        <w:rPr>
          <w:b w:val="0"/>
          <w:i w:val="0"/>
        </w:rPr>
        <w:t xml:space="preserve"> The Information Security Manager reports monthly: open findings by severity, findings past deadline, mean days to fix by severity, assets not scanned in the period, and exceptions in force. The report goes to the Head of Engineering and feeds management review (GOV-PRO-03) and the objectives tracker (GOV-REG-21).</w:t>
      </w:r>
    </w:p>
    <w:p>
      <w:r>
        <w:rPr>
          <w:b w:val="0"/>
          <w:i w:val="0"/>
        </w:rPr>
        <w:t xml:space="preserve">4.11 </w:t>
      </w:r>
      <w:r>
        <w:rPr>
          <w:b/>
        </w:rPr>
        <w:t>Retention.</w:t>
      </w:r>
      <w:r>
        <w:rPr>
          <w:b w:val="0"/>
          <w:i w:val="0"/>
        </w:rPr>
        <w:t xml:space="preserve"> Scan and analysis reports are retained for at least twelve months. GOV-REG-14 is retained for the life of the management system.</w:t>
      </w:r>
    </w:p>
    <w:p>
      <w:pPr>
        <w:pStyle w:val="Heading1"/>
      </w:pPr>
      <w:r>
        <w:t>5. Records and evidence</w:t>
      </w:r>
    </w:p>
    <w:p>
      <w:pPr>
        <w:pStyle w:val="ListBullet"/>
      </w:pPr>
      <w:r>
        <w:rPr>
          <w:b w:val="0"/>
          <w:i w:val="0"/>
        </w:rPr>
        <w:t>GOV-REG-14 Vulnerability register: every finding with source, severity, deadline, owner, status and verification.</w:t>
      </w:r>
    </w:p>
    <w:p>
      <w:pPr>
        <w:pStyle w:val="ListBullet"/>
      </w:pPr>
      <w:r>
        <w:rPr>
          <w:b w:val="0"/>
          <w:i w:val="0"/>
        </w:rPr>
        <w:t>Scan, image and dependency analysis reports.</w:t>
      </w:r>
    </w:p>
    <w:p>
      <w:pPr>
        <w:pStyle w:val="ListBullet"/>
      </w:pPr>
      <w:r>
        <w:rPr>
          <w:b w:val="0"/>
          <w:i w:val="0"/>
        </w:rPr>
        <w:t>Penetration test reports and retest evidence.</w:t>
      </w:r>
    </w:p>
    <w:p>
      <w:pPr>
        <w:pStyle w:val="ListBullet"/>
      </w:pPr>
      <w:r>
        <w:rPr>
          <w:b w:val="0"/>
          <w:i w:val="0"/>
        </w:rPr>
        <w:t>Risk acceptances in GOV-REG-06 for findings past deadline.</w:t>
      </w:r>
    </w:p>
    <w:p>
      <w:pPr>
        <w:pStyle w:val="ListBullet"/>
      </w:pPr>
      <w:r>
        <w:rPr>
          <w:b w:val="0"/>
          <w:i w:val="0"/>
        </w:rPr>
        <w:t>Monthly metrics reports and the quarterly coverage confirmation.</w:t>
      </w:r>
    </w:p>
    <w:p>
      <w:pPr>
        <w:pStyle w:val="Heading1"/>
      </w:pPr>
      <w:r>
        <w:t>6. Exceptions</w:t>
      </w:r>
    </w:p>
    <w:p>
      <w:r>
        <w:rPr>
          <w:b w:val="0"/>
          <w:i w:val="0"/>
        </w:rPr>
        <w:t>Only the risk acceptance route in 4.8 applies. Nobody may close a finding without verification, or defer one without a recorded risk acceptance.</w:t>
      </w:r>
    </w:p>
    <w:p>
      <w:pPr>
        <w:pStyle w:val="Heading1"/>
      </w:pPr>
      <w:r>
        <w:t>7. Review and maintenance</w:t>
      </w:r>
    </w:p>
    <w:p>
      <w:r>
        <w:rPr>
          <w:b w:val="0"/>
          <w:i w:val="0"/>
        </w:rPr>
        <w:t>The Information Security Manager reviews this procedure annually, after any incident that exploited a known vulnerability, after an audit finding, and when a customer contract sets different deadlines. Changes follow GOV-PRO-01.</w:t>
      </w:r>
    </w:p>
    <w:p>
      <w:pPr>
        <w:pStyle w:val="Heading1"/>
      </w:pPr>
      <w:r>
        <w:t>8. Related documents</w:t>
      </w:r>
    </w:p>
    <w:p>
      <w:pPr>
        <w:pStyle w:val="ListBullet"/>
      </w:pPr>
      <w:r>
        <w:rPr>
          <w:b w:val="0"/>
          <w:i w:val="0"/>
        </w:rPr>
        <w:t>GOV-REG-14 Vulnerability register</w:t>
      </w:r>
    </w:p>
    <w:p>
      <w:pPr>
        <w:pStyle w:val="ListBullet"/>
      </w:pPr>
      <w:r>
        <w:rPr>
          <w:b w:val="0"/>
          <w:i w:val="0"/>
        </w:rPr>
        <w:t>GOV-PRO-09 Change management procedure</w:t>
      </w:r>
    </w:p>
    <w:p>
      <w:pPr>
        <w:pStyle w:val="ListBullet"/>
      </w:pPr>
      <w:r>
        <w:rPr>
          <w:b w:val="0"/>
          <w:i w:val="0"/>
        </w:rPr>
        <w:t>GOV-PRO-15 Secure development lifecycle procedure</w:t>
      </w:r>
    </w:p>
    <w:p>
      <w:pPr>
        <w:pStyle w:val="ListBullet"/>
      </w:pPr>
      <w:r>
        <w:rPr>
          <w:b w:val="0"/>
          <w:i w:val="0"/>
        </w:rPr>
        <w:t>GOV-PRO-21 Network security and remote access procedure</w:t>
      </w:r>
    </w:p>
    <w:p>
      <w:pPr>
        <w:pStyle w:val="ListBullet"/>
      </w:pPr>
      <w:r>
        <w:rPr>
          <w:b w:val="0"/>
          <w:i w:val="0"/>
        </w:rPr>
        <w:t>GOV-PRO-22 Endpoint and mobile device security procedure</w:t>
      </w:r>
    </w:p>
    <w:p>
      <w:pPr>
        <w:pStyle w:val="ListBullet"/>
      </w:pPr>
      <w:r>
        <w:rPr>
          <w:b w:val="0"/>
          <w:i w:val="0"/>
        </w:rPr>
        <w:t>GOV-PRO-27 Threat intelligence and vulnerability disclosure handling procedure</w:t>
      </w:r>
    </w:p>
    <w:p>
      <w:pPr>
        <w:pStyle w:val="ListBullet"/>
      </w:pPr>
      <w:r>
        <w:rPr>
          <w:b w:val="0"/>
          <w:i w:val="0"/>
        </w:rPr>
        <w:t>GOV-PRO-24 Exception and risk acceptance procedure</w:t>
      </w:r>
    </w:p>
    <w:p>
      <w:pPr>
        <w:pStyle w:val="ListBullet"/>
      </w:pPr>
      <w:r>
        <w:rPr>
          <w:b w:val="0"/>
          <w:i w:val="0"/>
        </w:rPr>
        <w:t>GOV-REG-06 Risk acceptance and exception register</w:t>
      </w:r>
    </w:p>
    <w:p>
      <w:pPr>
        <w:pStyle w:val="ListBullet"/>
      </w:pPr>
      <w:r>
        <w:rPr>
          <w:b w:val="0"/>
          <w:i w:val="0"/>
        </w:rPr>
        <w:t>GOV-REG-24 Software and hardware inventory</w:t>
      </w:r>
    </w:p>
    <w:p>
      <w:pPr>
        <w:pStyle w:val="ListBullet"/>
      </w:pPr>
      <w:r>
        <w:rPr>
          <w:b w:val="0"/>
          <w:i w:val="0"/>
        </w:rPr>
        <w:t>GOV-PRO-06 Supplier and third party security procedure</w:t>
      </w:r>
    </w:p>
    <w:p>
      <w:pPr>
        <w:pStyle w:val="ListBullet"/>
      </w:pPr>
      <w:r>
        <w:rPr>
          <w:b w:val="0"/>
          <w:i w:val="0"/>
        </w:rPr>
        <w:t>GOV-PRO-03 Management review procedure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GOV-PRO-11  |  Vulnerability and Patch Management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