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GOV-TPL-12</w:t>
      </w:r>
    </w:p>
    <w:p>
      <w:r>
        <w:rPr>
          <w:b/>
          <w:color w:val="0B2D4D"/>
          <w:sz w:val="44"/>
        </w:rPr>
        <w:t>Readiness Verdict Note</w:t>
      </w:r>
    </w:p>
    <w:p>
      <w:r>
        <w:rPr>
          <w:i/>
          <w:color w:val="526478"/>
        </w:rPr>
        <w:t>The one page record that closes a go-live security and privacy gate, stating the verdict, the reasons, what was verified, what remains open and who signed.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GOV-TPL-12</w:t>
            </w:r>
          </w:p>
        </w:tc>
      </w:tr>
      <w:tr>
        <w:tc>
          <w:tcPr>
            <w:tcW w:type="dxa" w:w="2551"/>
            <w:shd w:val="clear" w:color="auto" w:fill="EEF3F8"/>
          </w:tcPr>
          <w:p>
            <w:pPr>
              <w:spacing w:after="40"/>
            </w:pPr>
            <w:r>
              <w:rPr>
                <w:b/>
                <w:sz w:val="19"/>
              </w:rPr>
              <w:t>Title</w:t>
            </w:r>
          </w:p>
        </w:tc>
        <w:tc>
          <w:tcPr>
            <w:tcW w:type="dxa" w:w="6803"/>
          </w:tcPr>
          <w:p>
            <w:pPr>
              <w:spacing w:after="40"/>
            </w:pPr>
            <w:r>
              <w:rPr>
                <w:sz w:val="19"/>
              </w:rPr>
              <w:t>Readiness Verdict Note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8.1; ISO/IEC 27001:2022 Annex A 5.8; ISO/IEC 27001:2022 Annex A 8.32; SOC 2 CC8.1; GDPR Article 25</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note</w:t>
      </w:r>
    </w:p>
    <w:p>
      <w:r>
        <w:rPr>
          <w:i/>
        </w:rPr>
        <w:t>The reviewer writes this note at the end of the gate described in PB-07, after the GOV-REG-29 checklist for the system is complete. Keep it to one page. A reader who sees nothing else must understand whether the system may go to production, under what conditions, and what evidence the verdict rests on. File it in the evidence folder and reference it in GOV-REG-11 against the go-live change.</w:t>
      </w:r>
    </w:p>
    <w:p>
      <w:pPr>
        <w:pStyle w:val="Heading1"/>
      </w:pPr>
      <w:r>
        <w:t>2. Project and environment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Project or system</w:t>
            </w:r>
          </w:p>
        </w:tc>
        <w:tc>
          <w:tcPr>
            <w:tcW w:type="dxa" w:w="4873"/>
          </w:tcPr>
          <w:p>
            <w:pPr>
              <w:spacing w:after="40"/>
            </w:pPr>
            <w:r>
              <w:rPr>
                <w:b w:val="0"/>
                <w:i w:val="0"/>
                <w:sz w:val="19"/>
              </w:rPr>
              <w:t>[System name]</w:t>
            </w:r>
          </w:p>
        </w:tc>
      </w:tr>
      <w:tr>
        <w:tc>
          <w:tcPr>
            <w:tcW w:type="dxa" w:w="4873"/>
          </w:tcPr>
          <w:p>
            <w:pPr>
              <w:spacing w:after="40"/>
            </w:pPr>
            <w:r>
              <w:rPr>
                <w:b w:val="0"/>
                <w:i w:val="0"/>
                <w:sz w:val="19"/>
              </w:rPr>
              <w:t>Environment reviewed</w:t>
            </w:r>
          </w:p>
        </w:tc>
        <w:tc>
          <w:tcPr>
            <w:tcW w:type="dxa" w:w="4873"/>
          </w:tcPr>
          <w:p>
            <w:pPr>
              <w:spacing w:after="40"/>
            </w:pPr>
            <w:r>
              <w:rPr>
                <w:b w:val="0"/>
                <w:i w:val="0"/>
                <w:sz w:val="19"/>
              </w:rPr>
              <w:t>Production / Pre-production configured identically to production</w:t>
            </w:r>
          </w:p>
        </w:tc>
      </w:tr>
      <w:tr>
        <w:tc>
          <w:tcPr>
            <w:tcW w:type="dxa" w:w="4873"/>
          </w:tcPr>
          <w:p>
            <w:pPr>
              <w:spacing w:after="40"/>
            </w:pPr>
            <w:r>
              <w:rPr>
                <w:b w:val="0"/>
                <w:i w:val="0"/>
                <w:sz w:val="19"/>
              </w:rPr>
              <w:t>Review reference</w:t>
            </w:r>
          </w:p>
        </w:tc>
        <w:tc>
          <w:tcPr>
            <w:tcW w:type="dxa" w:w="4873"/>
          </w:tcPr>
          <w:p>
            <w:pPr>
              <w:spacing w:after="40"/>
            </w:pPr>
            <w:r>
              <w:rPr>
                <w:b w:val="0"/>
                <w:i w:val="0"/>
                <w:sz w:val="19"/>
              </w:rPr>
              <w:t>[Reference]</w:t>
            </w:r>
          </w:p>
        </w:tc>
      </w:tr>
      <w:tr>
        <w:tc>
          <w:tcPr>
            <w:tcW w:type="dxa" w:w="4873"/>
          </w:tcPr>
          <w:p>
            <w:pPr>
              <w:spacing w:after="40"/>
            </w:pPr>
            <w:r>
              <w:rPr>
                <w:b w:val="0"/>
                <w:i w:val="0"/>
                <w:sz w:val="19"/>
              </w:rPr>
              <w:t>Checklist used</w:t>
            </w:r>
          </w:p>
        </w:tc>
        <w:tc>
          <w:tcPr>
            <w:tcW w:type="dxa" w:w="4873"/>
          </w:tcPr>
          <w:p>
            <w:pPr>
              <w:spacing w:after="40"/>
            </w:pPr>
            <w:r>
              <w:rPr>
                <w:b w:val="0"/>
                <w:i w:val="0"/>
                <w:sz w:val="19"/>
              </w:rPr>
              <w:t>GOV-REG-29 copy dated [Date]</w:t>
            </w:r>
          </w:p>
        </w:tc>
      </w:tr>
      <w:tr>
        <w:tc>
          <w:tcPr>
            <w:tcW w:type="dxa" w:w="4873"/>
          </w:tcPr>
          <w:p>
            <w:pPr>
              <w:spacing w:after="40"/>
            </w:pPr>
            <w:r>
              <w:rPr>
                <w:b w:val="0"/>
                <w:i w:val="0"/>
                <w:sz w:val="19"/>
              </w:rPr>
              <w:t>Evidence folder</w:t>
            </w:r>
          </w:p>
        </w:tc>
        <w:tc>
          <w:tcPr>
            <w:tcW w:type="dxa" w:w="4873"/>
          </w:tcPr>
          <w:p>
            <w:pPr>
              <w:spacing w:after="40"/>
            </w:pPr>
            <w:r>
              <w:rPr>
                <w:b w:val="0"/>
                <w:i w:val="0"/>
                <w:sz w:val="19"/>
              </w:rPr>
              <w:t>[Location]</w:t>
            </w:r>
          </w:p>
        </w:tc>
      </w:tr>
      <w:tr>
        <w:tc>
          <w:tcPr>
            <w:tcW w:type="dxa" w:w="4873"/>
          </w:tcPr>
          <w:p>
            <w:pPr>
              <w:spacing w:after="40"/>
            </w:pPr>
            <w:r>
              <w:rPr>
                <w:b w:val="0"/>
                <w:i w:val="0"/>
                <w:sz w:val="19"/>
              </w:rPr>
              <w:t>Submitting team lead</w:t>
            </w:r>
          </w:p>
        </w:tc>
        <w:tc>
          <w:tcPr>
            <w:tcW w:type="dxa" w:w="4873"/>
          </w:tcPr>
          <w:p>
            <w:pPr>
              <w:spacing w:after="40"/>
            </w:pPr>
            <w:r>
              <w:rPr>
                <w:b w:val="0"/>
                <w:i w:val="0"/>
                <w:sz w:val="19"/>
              </w:rPr>
              <w:t>[Role]</w:t>
            </w:r>
          </w:p>
        </w:tc>
      </w:tr>
      <w:tr>
        <w:tc>
          <w:tcPr>
            <w:tcW w:type="dxa" w:w="4873"/>
          </w:tcPr>
          <w:p>
            <w:pPr>
              <w:spacing w:after="40"/>
            </w:pPr>
            <w:r>
              <w:rPr>
                <w:b w:val="0"/>
                <w:i w:val="0"/>
                <w:sz w:val="19"/>
              </w:rPr>
              <w:t>Reviewer</w:t>
            </w:r>
          </w:p>
        </w:tc>
        <w:tc>
          <w:tcPr>
            <w:tcW w:type="dxa" w:w="4873"/>
          </w:tcPr>
          <w:p>
            <w:pPr>
              <w:spacing w:after="40"/>
            </w:pPr>
            <w:r>
              <w:rPr>
                <w:b w:val="0"/>
                <w:i w:val="0"/>
                <w:sz w:val="19"/>
              </w:rPr>
              <w:t>[Role]</w:t>
            </w:r>
          </w:p>
        </w:tc>
      </w:tr>
      <w:tr>
        <w:tc>
          <w:tcPr>
            <w:tcW w:type="dxa" w:w="4873"/>
          </w:tcPr>
          <w:p>
            <w:pPr>
              <w:spacing w:after="40"/>
            </w:pPr>
            <w:r>
              <w:rPr>
                <w:b w:val="0"/>
                <w:i w:val="0"/>
                <w:sz w:val="19"/>
              </w:rPr>
              <w:t>Review period</w:t>
            </w:r>
          </w:p>
        </w:tc>
        <w:tc>
          <w:tcPr>
            <w:tcW w:type="dxa" w:w="4873"/>
          </w:tcPr>
          <w:p>
            <w:pPr>
              <w:spacing w:after="40"/>
            </w:pPr>
            <w:r>
              <w:rPr>
                <w:b w:val="0"/>
                <w:i w:val="0"/>
                <w:sz w:val="19"/>
              </w:rPr>
              <w:t>[Date] to [Date]</w:t>
            </w:r>
          </w:p>
        </w:tc>
      </w:tr>
      <w:tr>
        <w:tc>
          <w:tcPr>
            <w:tcW w:type="dxa" w:w="4873"/>
          </w:tcPr>
          <w:p>
            <w:pPr>
              <w:spacing w:after="40"/>
            </w:pPr>
            <w:r>
              <w:rPr>
                <w:b w:val="0"/>
                <w:i w:val="0"/>
                <w:sz w:val="19"/>
              </w:rPr>
              <w:t>Planned go-live</w:t>
            </w:r>
          </w:p>
        </w:tc>
        <w:tc>
          <w:tcPr>
            <w:tcW w:type="dxa" w:w="4873"/>
          </w:tcPr>
          <w:p>
            <w:pPr>
              <w:spacing w:after="40"/>
            </w:pPr>
            <w:r>
              <w:rPr>
                <w:b w:val="0"/>
                <w:i w:val="0"/>
                <w:sz w:val="19"/>
              </w:rPr>
              <w:t>[Date]</w:t>
            </w:r>
          </w:p>
        </w:tc>
      </w:tr>
    </w:tbl>
    <w:p/>
    <w:p>
      <w:pPr>
        <w:pStyle w:val="Heading1"/>
      </w:pPr>
      <w:r>
        <w:t>3. Verdict</w:t>
      </w:r>
    </w:p>
    <w:p>
      <w:r>
        <w:rPr>
          <w:i/>
        </w:rPr>
        <w:t>Select one. The decision table in PB-07 section 7 determines which applies.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Verdict</w:t>
            </w:r>
          </w:p>
        </w:tc>
        <w:tc>
          <w:tcPr>
            <w:tcW w:type="dxa" w:w="3249"/>
            <w:shd w:val="clear" w:color="auto" w:fill="EEF3F8"/>
          </w:tcPr>
          <w:p>
            <w:pPr>
              <w:spacing w:after="40"/>
            </w:pPr>
            <w:r>
              <w:rPr>
                <w:b/>
                <w:i w:val="0"/>
                <w:sz w:val="19"/>
              </w:rPr>
              <w:t>Meaning</w:t>
            </w:r>
          </w:p>
        </w:tc>
        <w:tc>
          <w:tcPr>
            <w:tcW w:type="dxa" w:w="3249"/>
            <w:shd w:val="clear" w:color="auto" w:fill="EEF3F8"/>
          </w:tcPr>
          <w:p>
            <w:pPr>
              <w:spacing w:after="40"/>
            </w:pPr>
            <w:r>
              <w:rPr>
                <w:b/>
                <w:i w:val="0"/>
                <w:sz w:val="19"/>
              </w:rPr>
              <w:t>Selected</w:t>
            </w:r>
          </w:p>
        </w:tc>
      </w:tr>
      <w:tr>
        <w:tc>
          <w:tcPr>
            <w:tcW w:type="dxa" w:w="3249"/>
          </w:tcPr>
          <w:p>
            <w:pPr>
              <w:spacing w:after="40"/>
            </w:pPr>
            <w:r>
              <w:rPr>
                <w:b w:val="0"/>
                <w:i w:val="0"/>
                <w:sz w:val="19"/>
              </w:rPr>
              <w:t>Approved</w:t>
            </w:r>
          </w:p>
        </w:tc>
        <w:tc>
          <w:tcPr>
            <w:tcW w:type="dxa" w:w="3249"/>
          </w:tcPr>
          <w:p>
            <w:pPr>
              <w:spacing w:after="40"/>
            </w:pPr>
            <w:r>
              <w:rPr>
                <w:b w:val="0"/>
                <w:i w:val="0"/>
                <w:sz w:val="19"/>
              </w:rPr>
              <w:t>Every blocker is Verified and every other check is Verified or agreed Not applicable. Production use may begin.</w:t>
            </w:r>
          </w:p>
        </w:tc>
        <w:tc>
          <w:tcPr>
            <w:tcW w:type="dxa" w:w="3249"/>
          </w:tcPr>
          <w:p>
            <w:pPr>
              <w:spacing w:after="40"/>
            </w:pPr>
          </w:p>
        </w:tc>
      </w:tr>
      <w:tr>
        <w:tc>
          <w:tcPr>
            <w:tcW w:type="dxa" w:w="3249"/>
          </w:tcPr>
          <w:p>
            <w:pPr>
              <w:spacing w:after="40"/>
            </w:pPr>
            <w:r>
              <w:rPr>
                <w:b w:val="0"/>
                <w:i w:val="0"/>
                <w:sz w:val="19"/>
              </w:rPr>
              <w:t>Approved with conditions</w:t>
            </w:r>
          </w:p>
        </w:tc>
        <w:tc>
          <w:tcPr>
            <w:tcW w:type="dxa" w:w="3249"/>
          </w:tcPr>
          <w:p>
            <w:pPr>
              <w:spacing w:after="40"/>
            </w:pPr>
            <w:r>
              <w:rPr>
                <w:b w:val="0"/>
                <w:i w:val="0"/>
                <w:sz w:val="19"/>
              </w:rPr>
              <w:t>Every blocker is Verified. One or more non-blocking checks are To confirm or Not implemented, each with an owner, a ticket and a due date within [Number] days. Production use may begin and the conditions are tracked in GOV-REG-03.</w:t>
            </w:r>
          </w:p>
        </w:tc>
        <w:tc>
          <w:tcPr>
            <w:tcW w:type="dxa" w:w="3249"/>
          </w:tcPr>
          <w:p>
            <w:pPr>
              <w:spacing w:after="40"/>
            </w:pPr>
          </w:p>
        </w:tc>
      </w:tr>
      <w:tr>
        <w:tc>
          <w:tcPr>
            <w:tcW w:type="dxa" w:w="3249"/>
          </w:tcPr>
          <w:p>
            <w:pPr>
              <w:spacing w:after="40"/>
            </w:pPr>
            <w:r>
              <w:rPr>
                <w:b w:val="0"/>
                <w:i w:val="0"/>
                <w:sz w:val="19"/>
              </w:rPr>
              <w:t>Stop</w:t>
            </w:r>
          </w:p>
        </w:tc>
        <w:tc>
          <w:tcPr>
            <w:tcW w:type="dxa" w:w="3249"/>
          </w:tcPr>
          <w:p>
            <w:pPr>
              <w:spacing w:after="40"/>
            </w:pPr>
            <w:r>
              <w:rPr>
                <w:b w:val="0"/>
                <w:i w:val="0"/>
                <w:sz w:val="19"/>
              </w:rPr>
              <w:t>At least one blocker is not Verified, or a blocker was marked Not applicable without the reviewer's agreement. Production use may not begin until the blocker is Verified and this note is reissued.</w:t>
            </w:r>
          </w:p>
        </w:tc>
        <w:tc>
          <w:tcPr>
            <w:tcW w:type="dxa" w:w="3249"/>
          </w:tcPr>
          <w:p>
            <w:pPr>
              <w:spacing w:after="40"/>
            </w:pPr>
          </w:p>
        </w:tc>
      </w:tr>
    </w:tbl>
    <w:p/>
    <w:p>
      <w:pPr>
        <w:pStyle w:val="Heading1"/>
      </w:pPr>
      <w:r>
        <w:t>4. Reasons</w:t>
      </w:r>
    </w:p>
    <w:p>
      <w:r>
        <w:rPr>
          <w:i/>
        </w:rPr>
        <w:t>Three to six sentences. State the facts that drove the verdict and cite the evidence references from GOV-REG-29. Name any open blocker.</w:t>
      </w:r>
    </w:p>
    <w:p>
      <w:pPr>
        <w:pStyle w:val="Heading1"/>
      </w:pPr>
      <w:r>
        <w:t>5. Verified areas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Area</w:t>
            </w:r>
          </w:p>
        </w:tc>
        <w:tc>
          <w:tcPr>
            <w:tcW w:type="dxa" w:w="2436"/>
            <w:shd w:val="clear" w:color="auto" w:fill="EEF3F8"/>
          </w:tcPr>
          <w:p>
            <w:pPr>
              <w:spacing w:after="40"/>
            </w:pPr>
            <w:r>
              <w:rPr>
                <w:b/>
                <w:i w:val="0"/>
                <w:sz w:val="19"/>
              </w:rPr>
              <w:t>Status</w:t>
            </w:r>
          </w:p>
        </w:tc>
        <w:tc>
          <w:tcPr>
            <w:tcW w:type="dxa" w:w="2436"/>
            <w:shd w:val="clear" w:color="auto" w:fill="EEF3F8"/>
          </w:tcPr>
          <w:p>
            <w:pPr>
              <w:spacing w:after="40"/>
            </w:pPr>
            <w:r>
              <w:rPr>
                <w:b/>
                <w:i w:val="0"/>
                <w:sz w:val="19"/>
              </w:rPr>
              <w:t>Evidence reference</w:t>
            </w:r>
          </w:p>
        </w:tc>
        <w:tc>
          <w:tcPr>
            <w:tcW w:type="dxa" w:w="2436"/>
            <w:shd w:val="clear" w:color="auto" w:fill="EEF3F8"/>
          </w:tcPr>
          <w:p>
            <w:pPr>
              <w:spacing w:after="40"/>
            </w:pPr>
            <w:r>
              <w:rPr>
                <w:b/>
                <w:i w:val="0"/>
                <w:sz w:val="19"/>
              </w:rPr>
              <w:t>Note</w:t>
            </w:r>
          </w:p>
        </w:tc>
      </w:tr>
      <w:tr>
        <w:tc>
          <w:tcPr>
            <w:tcW w:type="dxa" w:w="2436"/>
          </w:tcPr>
          <w:p>
            <w:pPr>
              <w:spacing w:after="40"/>
            </w:pPr>
            <w:r>
              <w:rPr>
                <w:b w:val="0"/>
                <w:i w:val="0"/>
                <w:sz w:val="19"/>
              </w:rPr>
              <w:t>Scope and residency</w:t>
            </w:r>
          </w:p>
        </w:tc>
        <w:tc>
          <w:tcPr>
            <w:tcW w:type="dxa" w:w="2436"/>
          </w:tcPr>
          <w:p>
            <w:pPr>
              <w:spacing w:after="40"/>
            </w:pPr>
            <w:r>
              <w:rPr>
                <w:b w:val="0"/>
                <w:i w:val="0"/>
                <w:sz w:val="19"/>
              </w:rPr>
              <w:t>Verified / To confirm / Not implemented / Not applicable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External processing</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Data flow</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Access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Network</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Encryption</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Logging</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Backups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Contractual</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Privacy</w:t>
            </w:r>
          </w:p>
        </w:tc>
        <w:tc>
          <w:tcPr>
            <w:tcW w:type="dxa" w:w="2436"/>
          </w:tcPr>
          <w:p>
            <w:pPr>
              <w:spacing w:after="40"/>
            </w:pPr>
          </w:p>
        </w:tc>
        <w:tc>
          <w:tcPr>
            <w:tcW w:type="dxa" w:w="2436"/>
          </w:tcPr>
          <w:p>
            <w:pPr>
              <w:spacing w:after="40"/>
            </w:pPr>
          </w:p>
        </w:tc>
        <w:tc>
          <w:tcPr>
            <w:tcW w:type="dxa" w:w="2436"/>
          </w:tcPr>
          <w:p>
            <w:pPr>
              <w:spacing w:after="40"/>
            </w:pPr>
          </w:p>
        </w:tc>
      </w:tr>
    </w:tbl>
    <w:p/>
    <w:p>
      <w:pPr>
        <w:pStyle w:val="Heading1"/>
      </w:pPr>
      <w:r>
        <w:t>6. Open items</w:t>
      </w:r>
    </w:p>
    <w:p>
      <w:r>
        <w:rPr>
          <w:i/>
        </w:rPr>
        <w:t>Every check that is not Verified. An open blocker means the verdict is Stop.</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EF3F8"/>
          </w:tcPr>
          <w:p>
            <w:pPr>
              <w:spacing w:after="40"/>
            </w:pPr>
            <w:r>
              <w:rPr>
                <w:b/>
                <w:i w:val="0"/>
                <w:sz w:val="19"/>
              </w:rPr>
              <w:t>GOV-REG-29 row</w:t>
            </w:r>
          </w:p>
        </w:tc>
        <w:tc>
          <w:tcPr>
            <w:tcW w:type="dxa" w:w="1624"/>
            <w:shd w:val="clear" w:color="auto" w:fill="EEF3F8"/>
          </w:tcPr>
          <w:p>
            <w:pPr>
              <w:spacing w:after="40"/>
            </w:pPr>
            <w:r>
              <w:rPr>
                <w:b/>
                <w:i w:val="0"/>
                <w:sz w:val="19"/>
              </w:rPr>
              <w:t>Blocker</w:t>
            </w:r>
          </w:p>
        </w:tc>
        <w:tc>
          <w:tcPr>
            <w:tcW w:type="dxa" w:w="1624"/>
            <w:shd w:val="clear" w:color="auto" w:fill="EEF3F8"/>
          </w:tcPr>
          <w:p>
            <w:pPr>
              <w:spacing w:after="40"/>
            </w:pPr>
            <w:r>
              <w:rPr>
                <w:b/>
                <w:i w:val="0"/>
                <w:sz w:val="19"/>
              </w:rPr>
              <w:t>Owner</w:t>
            </w:r>
          </w:p>
        </w:tc>
        <w:tc>
          <w:tcPr>
            <w:tcW w:type="dxa" w:w="1624"/>
            <w:shd w:val="clear" w:color="auto" w:fill="EEF3F8"/>
          </w:tcPr>
          <w:p>
            <w:pPr>
              <w:spacing w:after="40"/>
            </w:pPr>
            <w:r>
              <w:rPr>
                <w:b/>
                <w:i w:val="0"/>
                <w:sz w:val="19"/>
              </w:rPr>
              <w:t>Due</w:t>
            </w:r>
          </w:p>
        </w:tc>
        <w:tc>
          <w:tcPr>
            <w:tcW w:type="dxa" w:w="1624"/>
            <w:shd w:val="clear" w:color="auto" w:fill="EEF3F8"/>
          </w:tcPr>
          <w:p>
            <w:pPr>
              <w:spacing w:after="40"/>
            </w:pPr>
            <w:r>
              <w:rPr>
                <w:b/>
                <w:i w:val="0"/>
                <w:sz w:val="19"/>
              </w:rPr>
              <w:t>Condition for production use</w:t>
            </w:r>
          </w:p>
        </w:tc>
        <w:tc>
          <w:tcPr>
            <w:tcW w:type="dxa" w:w="1624"/>
            <w:shd w:val="clear" w:color="auto" w:fill="EEF3F8"/>
          </w:tcPr>
          <w:p>
            <w:pPr>
              <w:spacing w:after="40"/>
            </w:pPr>
            <w:r>
              <w:rPr>
                <w:b/>
                <w:i w:val="0"/>
                <w:sz w:val="19"/>
              </w:rPr>
              <w:t>GOV-REG-03 reference</w:t>
            </w:r>
          </w:p>
        </w:tc>
      </w:tr>
      <w:tr>
        <w:tc>
          <w:tcPr>
            <w:tcW w:type="dxa" w:w="1624"/>
          </w:tcPr>
          <w:p>
            <w:pPr>
              <w:spacing w:after="40"/>
            </w:pPr>
          </w:p>
        </w:tc>
        <w:tc>
          <w:tcPr>
            <w:tcW w:type="dxa" w:w="1624"/>
          </w:tcPr>
          <w:p>
            <w:pPr>
              <w:spacing w:after="40"/>
            </w:pPr>
            <w:r>
              <w:rPr>
                <w:b w:val="0"/>
                <w:i w:val="0"/>
                <w:sz w:val="19"/>
              </w:rPr>
              <w:t>Yes / No</w:t>
            </w:r>
          </w:p>
        </w:tc>
        <w:tc>
          <w:tcPr>
            <w:tcW w:type="dxa" w:w="1624"/>
          </w:tcPr>
          <w:p>
            <w:pPr>
              <w:spacing w:after="40"/>
            </w:pPr>
            <w:r>
              <w:rPr>
                <w:b w:val="0"/>
                <w:i w:val="0"/>
                <w:sz w:val="19"/>
              </w:rPr>
              <w:t>[Role]</w:t>
            </w:r>
          </w:p>
        </w:tc>
        <w:tc>
          <w:tcPr>
            <w:tcW w:type="dxa" w:w="1624"/>
          </w:tcPr>
          <w:p>
            <w:pPr>
              <w:spacing w:after="40"/>
            </w:pPr>
            <w:r>
              <w:rPr>
                <w:b w:val="0"/>
                <w:i w:val="0"/>
                <w:sz w:val="19"/>
              </w:rPr>
              <w:t>[Date]</w:t>
            </w:r>
          </w:p>
        </w:tc>
        <w:tc>
          <w:tcPr>
            <w:tcW w:type="dxa" w:w="1624"/>
          </w:tcPr>
          <w:p>
            <w:pPr>
              <w:spacing w:after="40"/>
            </w:pPr>
          </w:p>
        </w:tc>
        <w:tc>
          <w:tcPr>
            <w:tcW w:type="dxa" w:w="1624"/>
          </w:tcPr>
          <w:p>
            <w:pPr>
              <w:spacing w:after="40"/>
            </w:pPr>
          </w:p>
        </w:tc>
      </w:tr>
      <w:tr>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bl>
    <w:p/>
    <w:p>
      <w:pPr>
        <w:pStyle w:val="Heading1"/>
      </w:pPr>
      <w:r>
        <w:t>7. Access list reference</w:t>
      </w:r>
    </w:p>
    <w:p>
      <w:r>
        <w:rPr>
          <w:i/>
        </w:rPr>
        <w:t>The reviewer used read-only accounts to verify the evidence. Record where the list of those accounts is held and confirm their removal, so that the gate itself leaves no standing access behind.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Access list location</w:t>
            </w:r>
          </w:p>
        </w:tc>
        <w:tc>
          <w:tcPr>
            <w:tcW w:type="dxa" w:w="4873"/>
          </w:tcPr>
          <w:p>
            <w:pPr>
              <w:spacing w:after="40"/>
            </w:pPr>
            <w:r>
              <w:rPr>
                <w:b w:val="0"/>
                <w:i w:val="0"/>
                <w:sz w:val="19"/>
              </w:rPr>
              <w:t>[Location]</w:t>
            </w:r>
          </w:p>
        </w:tc>
      </w:tr>
      <w:tr>
        <w:tc>
          <w:tcPr>
            <w:tcW w:type="dxa" w:w="4873"/>
          </w:tcPr>
          <w:p>
            <w:pPr>
              <w:spacing w:after="40"/>
            </w:pPr>
            <w:r>
              <w:rPr>
                <w:b w:val="0"/>
                <w:i w:val="0"/>
                <w:sz w:val="19"/>
              </w:rPr>
              <w:t>Accounts used by the reviewer</w:t>
            </w:r>
          </w:p>
        </w:tc>
        <w:tc>
          <w:tcPr>
            <w:tcW w:type="dxa" w:w="4873"/>
          </w:tcPr>
          <w:p>
            <w:pPr>
              <w:spacing w:after="40"/>
            </w:pPr>
            <w:r>
              <w:rPr>
                <w:b w:val="0"/>
                <w:i w:val="0"/>
                <w:sz w:val="19"/>
              </w:rPr>
              <w:t>[Number]</w:t>
            </w:r>
          </w:p>
        </w:tc>
      </w:tr>
      <w:tr>
        <w:tc>
          <w:tcPr>
            <w:tcW w:type="dxa" w:w="4873"/>
          </w:tcPr>
          <w:p>
            <w:pPr>
              <w:spacing w:after="40"/>
            </w:pPr>
            <w:r>
              <w:rPr>
                <w:b w:val="0"/>
                <w:i w:val="0"/>
                <w:sz w:val="19"/>
              </w:rPr>
              <w:t>All reviewer access removed on</w:t>
            </w:r>
          </w:p>
        </w:tc>
        <w:tc>
          <w:tcPr>
            <w:tcW w:type="dxa" w:w="4873"/>
          </w:tcPr>
          <w:p>
            <w:pPr>
              <w:spacing w:after="40"/>
            </w:pPr>
            <w:r>
              <w:rPr>
                <w:b w:val="0"/>
                <w:i w:val="0"/>
                <w:sz w:val="19"/>
              </w:rPr>
              <w:t>[Date], confirmed by [Role]</w:t>
            </w:r>
          </w:p>
        </w:tc>
      </w:tr>
    </w:tbl>
    <w:p/>
    <w:p>
      <w:pPr>
        <w:pStyle w:val="Heading1"/>
      </w:pPr>
      <w:r>
        <w:t>8. Signatures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Statement</w:t>
            </w:r>
          </w:p>
        </w:tc>
        <w:tc>
          <w:tcPr>
            <w:tcW w:type="dxa" w:w="3249"/>
            <w:shd w:val="clear" w:color="auto" w:fill="EEF3F8"/>
          </w:tcPr>
          <w:p>
            <w:pPr>
              <w:spacing w:after="40"/>
            </w:pPr>
            <w:r>
              <w:rPr>
                <w:b/>
                <w:i w:val="0"/>
                <w:sz w:val="19"/>
              </w:rPr>
              <w:t>Name and date</w:t>
            </w:r>
          </w:p>
        </w:tc>
      </w:tr>
      <w:tr>
        <w:tc>
          <w:tcPr>
            <w:tcW w:type="dxa" w:w="3249"/>
          </w:tcPr>
          <w:p>
            <w:pPr>
              <w:spacing w:after="40"/>
            </w:pPr>
            <w:r>
              <w:rPr>
                <w:b w:val="0"/>
                <w:i w:val="0"/>
                <w:sz w:val="19"/>
              </w:rPr>
              <w:t>Reviewer</w:t>
            </w:r>
          </w:p>
        </w:tc>
        <w:tc>
          <w:tcPr>
            <w:tcW w:type="dxa" w:w="3249"/>
          </w:tcPr>
          <w:p>
            <w:pPr>
              <w:spacing w:after="40"/>
            </w:pPr>
            <w:r>
              <w:rPr>
                <w:b w:val="0"/>
                <w:i w:val="0"/>
                <w:sz w:val="19"/>
              </w:rPr>
              <w:t>The checks were verified as recorded and the verdict follows the decision table.</w:t>
            </w:r>
          </w:p>
        </w:tc>
        <w:tc>
          <w:tcPr>
            <w:tcW w:type="dxa" w:w="3249"/>
          </w:tcPr>
          <w:p>
            <w:pPr>
              <w:spacing w:after="40"/>
            </w:pPr>
            <w:r>
              <w:rPr>
                <w:b w:val="0"/>
                <w:i w:val="0"/>
                <w:sz w:val="19"/>
              </w:rPr>
              <w:t>[Name], [Date]</w:t>
            </w:r>
          </w:p>
        </w:tc>
      </w:tr>
      <w:tr>
        <w:tc>
          <w:tcPr>
            <w:tcW w:type="dxa" w:w="3249"/>
          </w:tcPr>
          <w:p>
            <w:pPr>
              <w:spacing w:after="40"/>
            </w:pPr>
            <w:r>
              <w:rPr>
                <w:b w:val="0"/>
                <w:i w:val="0"/>
                <w:sz w:val="19"/>
              </w:rPr>
              <w:t>Submitting team lead (Head of Engineering or delegate)</w:t>
            </w:r>
          </w:p>
        </w:tc>
        <w:tc>
          <w:tcPr>
            <w:tcW w:type="dxa" w:w="3249"/>
          </w:tcPr>
          <w:p>
            <w:pPr>
              <w:spacing w:after="40"/>
            </w:pPr>
            <w:r>
              <w:rPr>
                <w:b w:val="0"/>
                <w:i w:val="0"/>
                <w:sz w:val="19"/>
              </w:rPr>
              <w:t>The evidence submitted is complete and accurate and the open items are accepted with their dates.</w:t>
            </w:r>
          </w:p>
        </w:tc>
        <w:tc>
          <w:tcPr>
            <w:tcW w:type="dxa" w:w="3249"/>
          </w:tcPr>
          <w:p>
            <w:pPr>
              <w:spacing w:after="40"/>
            </w:pPr>
            <w:r>
              <w:rPr>
                <w:b w:val="0"/>
                <w:i w:val="0"/>
                <w:sz w:val="19"/>
              </w:rPr>
              <w:t>[Name], [Date]</w:t>
            </w:r>
          </w:p>
        </w:tc>
      </w:tr>
      <w:tr>
        <w:tc>
          <w:tcPr>
            <w:tcW w:type="dxa" w:w="3249"/>
          </w:tcPr>
          <w:p>
            <w:pPr>
              <w:spacing w:after="40"/>
            </w:pPr>
            <w:r>
              <w:rPr>
                <w:b w:val="0"/>
                <w:i w:val="0"/>
                <w:sz w:val="19"/>
              </w:rPr>
              <w:t>Information Security Manager</w:t>
            </w:r>
          </w:p>
        </w:tc>
        <w:tc>
          <w:tcPr>
            <w:tcW w:type="dxa" w:w="3249"/>
          </w:tcPr>
          <w:p>
            <w:pPr>
              <w:spacing w:after="40"/>
            </w:pPr>
            <w:r>
              <w:rPr>
                <w:b w:val="0"/>
                <w:i w:val="0"/>
                <w:sz w:val="19"/>
              </w:rPr>
              <w:t>The verdict is accepted and the conditions are entered in GOV-REG-03.</w:t>
            </w:r>
          </w:p>
        </w:tc>
        <w:tc>
          <w:tcPr>
            <w:tcW w:type="dxa" w:w="3249"/>
          </w:tcPr>
          <w:p>
            <w:pPr>
              <w:spacing w:after="40"/>
            </w:pPr>
            <w:r>
              <w:rPr>
                <w:b w:val="0"/>
                <w:i w:val="0"/>
                <w:sz w:val="19"/>
              </w:rPr>
              <w:t>[Name], [Date]</w:t>
            </w:r>
          </w:p>
        </w:tc>
      </w:tr>
      <w:tr>
        <w:tc>
          <w:tcPr>
            <w:tcW w:type="dxa" w:w="3249"/>
          </w:tcPr>
          <w:p>
            <w:pPr>
              <w:spacing w:after="40"/>
            </w:pPr>
            <w:r>
              <w:rPr>
                <w:b w:val="0"/>
                <w:i w:val="0"/>
                <w:sz w:val="19"/>
              </w:rPr>
              <w:t>Privacy Officer (where personal data is processed)</w:t>
            </w:r>
          </w:p>
        </w:tc>
        <w:tc>
          <w:tcPr>
            <w:tcW w:type="dxa" w:w="3249"/>
          </w:tcPr>
          <w:p>
            <w:pPr>
              <w:spacing w:after="40"/>
            </w:pPr>
            <w:r>
              <w:rPr>
                <w:b w:val="0"/>
                <w:i w:val="0"/>
                <w:sz w:val="19"/>
              </w:rPr>
              <w:t>The privacy checks are verified.</w:t>
            </w:r>
          </w:p>
        </w:tc>
        <w:tc>
          <w:tcPr>
            <w:tcW w:type="dxa" w:w="3249"/>
          </w:tcPr>
          <w:p>
            <w:pPr>
              <w:spacing w:after="40"/>
            </w:pPr>
            <w:r>
              <w:rPr>
                <w:b w:val="0"/>
                <w:i w:val="0"/>
                <w:sz w:val="19"/>
              </w:rPr>
              <w:t>[Name], [Date]</w:t>
            </w:r>
          </w:p>
        </w:tc>
      </w:tr>
      <w:tr>
        <w:tc>
          <w:tcPr>
            <w:tcW w:type="dxa" w:w="3249"/>
          </w:tcPr>
          <w:p>
            <w:pPr>
              <w:spacing w:after="40"/>
            </w:pPr>
            <w:r>
              <w:rPr>
                <w:b w:val="0"/>
                <w:i w:val="0"/>
                <w:sz w:val="19"/>
              </w:rPr>
              <w:t>System owner</w:t>
            </w:r>
          </w:p>
        </w:tc>
        <w:tc>
          <w:tcPr>
            <w:tcW w:type="dxa" w:w="3249"/>
          </w:tcPr>
          <w:p>
            <w:pPr>
              <w:spacing w:after="40"/>
            </w:pPr>
            <w:r>
              <w:rPr>
                <w:b w:val="0"/>
                <w:i w:val="0"/>
                <w:sz w:val="19"/>
              </w:rPr>
              <w:t>The residual risk recorded in GOV-REG-05 is accepted.</w:t>
            </w:r>
          </w:p>
        </w:tc>
        <w:tc>
          <w:tcPr>
            <w:tcW w:type="dxa" w:w="3249"/>
          </w:tcPr>
          <w:p>
            <w:pPr>
              <w:spacing w:after="40"/>
            </w:pPr>
            <w:r>
              <w:rPr>
                <w:b w:val="0"/>
                <w:i w:val="0"/>
                <w:sz w:val="19"/>
              </w:rPr>
              <w:t>[Name], [Date]</w:t>
            </w:r>
          </w:p>
        </w:tc>
      </w:tr>
    </w:tbl>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GOV-TPL-12  |  Readiness Verdict Note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