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GDPR-PRO-02</w:t>
      </w:r>
    </w:p>
    <w:p>
      <w:r>
        <w:rPr>
          <w:b/>
          <w:color w:val="0B2D4D"/>
          <w:sz w:val="44"/>
        </w:rPr>
        <w:t>HR data handling procedure</w:t>
      </w:r>
    </w:p>
    <w:p>
      <w:r>
        <w:rPr>
          <w:i/>
          <w:color w:val="526478"/>
        </w:rPr>
        <w:t>How personal data about applicants, employees, contractors and former staff is collected, used, protected, retained and deleted at each stage from recruitment to after departure.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GDPR-PRO-02</w:t>
            </w:r>
          </w:p>
        </w:tc>
      </w:tr>
      <w:tr>
        <w:tc>
          <w:tcPr>
            <w:tcW w:type="dxa" w:w="2551"/>
            <w:shd w:val="clear" w:color="auto" w:fill="EEF3F8"/>
          </w:tcPr>
          <w:p>
            <w:pPr>
              <w:spacing w:after="40"/>
            </w:pPr>
            <w:r>
              <w:rPr>
                <w:b/>
                <w:sz w:val="19"/>
              </w:rPr>
              <w:t>Title</w:t>
            </w:r>
          </w:p>
        </w:tc>
        <w:tc>
          <w:tcPr>
            <w:tcW w:type="dxa" w:w="6803"/>
          </w:tcPr>
          <w:p>
            <w:pPr>
              <w:spacing w:after="40"/>
            </w:pPr>
            <w:r>
              <w:rPr>
                <w:sz w:val="19"/>
              </w:rPr>
              <w:t>HR data handling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5; GDPR Article 6; GDPR Article 9; GDPR Article 88; ISO/IEC 27701 Annex A 7.2.2; ISO/IEC 27001:2022 Annex A 6.1</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gives the people function and line managers a single set of steps for handling the personal data of the workforce, so that recruitment, employment, monitoring, references and leaving are all done on a recorded lawful basis, with the minimum data, for a defined period, and with special category data under tighter control.</w:t>
      </w:r>
    </w:p>
    <w:p>
      <w:pPr>
        <w:pStyle w:val="Heading1"/>
      </w:pPr>
      <w:r>
        <w:t>2. Scope</w:t>
      </w:r>
    </w:p>
    <w:p>
      <w:r>
        <w:rPr>
          <w:b w:val="0"/>
          <w:i w:val="0"/>
        </w:rPr>
        <w:t>It applies to data about job applicants, employees, contractors, temporary workers, interns and former members of any of those groups, in every system and paper file that holds it, including the HR system, payroll, recruitment tools, email, shared drives, access control and monitoring systems, and the files that managers keep.</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People</w:t>
            </w:r>
          </w:p>
        </w:tc>
        <w:tc>
          <w:tcPr>
            <w:tcW w:type="dxa" w:w="4873"/>
          </w:tcPr>
          <w:p>
            <w:pPr>
              <w:spacing w:after="40"/>
            </w:pPr>
            <w:r>
              <w:rPr>
                <w:b w:val="0"/>
                <w:i w:val="0"/>
                <w:sz w:val="19"/>
              </w:rPr>
              <w:t>Owns the HR processing activities in PIMS-REG-01, approves the retention periods for HR categories, and is the approver for the disclosures in step 4.8.</w:t>
            </w:r>
          </w:p>
        </w:tc>
      </w:tr>
      <w:tr>
        <w:tc>
          <w:tcPr>
            <w:tcW w:type="dxa" w:w="4873"/>
          </w:tcPr>
          <w:p>
            <w:pPr>
              <w:spacing w:after="40"/>
            </w:pPr>
            <w:r>
              <w:rPr>
                <w:b w:val="0"/>
                <w:i w:val="0"/>
                <w:sz w:val="19"/>
              </w:rPr>
              <w:t>HR Administrator</w:t>
            </w:r>
          </w:p>
        </w:tc>
        <w:tc>
          <w:tcPr>
            <w:tcW w:type="dxa" w:w="4873"/>
          </w:tcPr>
          <w:p>
            <w:pPr>
              <w:spacing w:after="40"/>
            </w:pPr>
            <w:r>
              <w:rPr>
                <w:b w:val="0"/>
                <w:i w:val="0"/>
                <w:sz w:val="19"/>
              </w:rPr>
              <w:t>Performs the day-to-day steps, keeps the HR system current and runs the retention checks in step 4.10.</w:t>
            </w:r>
          </w:p>
        </w:tc>
      </w:tr>
      <w:tr>
        <w:tc>
          <w:tcPr>
            <w:tcW w:type="dxa" w:w="4873"/>
          </w:tcPr>
          <w:p>
            <w:pPr>
              <w:spacing w:after="40"/>
            </w:pPr>
            <w:r>
              <w:rPr>
                <w:b w:val="0"/>
                <w:i w:val="0"/>
                <w:sz w:val="19"/>
              </w:rPr>
              <w:t>Line manager</w:t>
            </w:r>
          </w:p>
        </w:tc>
        <w:tc>
          <w:tcPr>
            <w:tcW w:type="dxa" w:w="4873"/>
          </w:tcPr>
          <w:p>
            <w:pPr>
              <w:spacing w:after="40"/>
            </w:pPr>
            <w:r>
              <w:rPr>
                <w:b w:val="0"/>
                <w:i w:val="0"/>
                <w:sz w:val="19"/>
              </w:rPr>
              <w:t>Collects only the data the steps allow, keeps no shadow files, and routes requests and concerns to the people function.</w:t>
            </w:r>
          </w:p>
        </w:tc>
      </w:tr>
      <w:tr>
        <w:tc>
          <w:tcPr>
            <w:tcW w:type="dxa" w:w="4873"/>
          </w:tcPr>
          <w:p>
            <w:pPr>
              <w:spacing w:after="40"/>
            </w:pPr>
            <w:r>
              <w:rPr>
                <w:b w:val="0"/>
                <w:i w:val="0"/>
                <w:sz w:val="19"/>
              </w:rPr>
              <w:t>Privacy Officer</w:t>
            </w:r>
          </w:p>
        </w:tc>
        <w:tc>
          <w:tcPr>
            <w:tcW w:type="dxa" w:w="4873"/>
          </w:tcPr>
          <w:p>
            <w:pPr>
              <w:spacing w:after="40"/>
            </w:pPr>
            <w:r>
              <w:rPr>
                <w:b w:val="0"/>
                <w:i w:val="0"/>
                <w:sz w:val="19"/>
              </w:rPr>
              <w:t>Advises on lawful basis and special category conditions, approves monitoring and new HR tools, handles rights requests from the workforce under PIMS-PRO-03.</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Applies access control, logging and encryption to HR systems and approves any monitoring configuration.</w:t>
            </w:r>
          </w:p>
        </w:tc>
      </w:tr>
      <w:tr>
        <w:tc>
          <w:tcPr>
            <w:tcW w:type="dxa" w:w="4873"/>
          </w:tcPr>
          <w:p>
            <w:pPr>
              <w:spacing w:after="40"/>
            </w:pPr>
            <w:r>
              <w:rPr>
                <w:b w:val="0"/>
                <w:i w:val="0"/>
                <w:sz w:val="19"/>
              </w:rPr>
              <w:t>Payroll and benefits providers</w:t>
            </w:r>
          </w:p>
        </w:tc>
        <w:tc>
          <w:tcPr>
            <w:tcW w:type="dxa" w:w="4873"/>
          </w:tcPr>
          <w:p>
            <w:pPr>
              <w:spacing w:after="40"/>
            </w:pPr>
            <w:r>
              <w:rPr>
                <w:b w:val="0"/>
                <w:i w:val="0"/>
                <w:sz w:val="19"/>
              </w:rPr>
              <w:t>Act as processors under PIMS-TPL-02 terms recorded in PIMS-REG-06.</w:t>
            </w:r>
          </w:p>
        </w:tc>
      </w:tr>
    </w:tbl>
    <w:p/>
    <w:p>
      <w:pPr>
        <w:pStyle w:val="Heading1"/>
      </w:pPr>
      <w:r>
        <w:t>4. Procedure</w:t>
      </w:r>
    </w:p>
    <w:p>
      <w:r>
        <w:rPr>
          <w:b w:val="0"/>
          <w:i w:val="0"/>
        </w:rPr>
        <w:t xml:space="preserve">4.1 </w:t>
      </w:r>
      <w:r>
        <w:rPr>
          <w:b/>
        </w:rPr>
        <w:t>Recruitment: collection.</w:t>
      </w:r>
      <w:r>
        <w:rPr>
          <w:b w:val="0"/>
          <w:i w:val="0"/>
        </w:rPr>
        <w:t xml:space="preserve"> The HR Administrator publishes the applicant notice built from GDPR-TPL-03 on every application channel before any data is entered. Application forms ask only for the data needed to assess suitability for the advertised role. Equal opportunities monitoring questions are optional, kept separate from the application, and seen only in aggregate. Social media and public sources are searched only where the Head of People has recorded the need for the role, and the applicant is told.</w:t>
      </w:r>
    </w:p>
    <w:p>
      <w:r>
        <w:rPr>
          <w:b w:val="0"/>
          <w:i w:val="0"/>
        </w:rPr>
        <w:t xml:space="preserve">4.2 </w:t>
      </w:r>
      <w:r>
        <w:rPr>
          <w:b/>
        </w:rPr>
        <w:t>Recruitment: assessment.</w:t>
      </w:r>
      <w:r>
        <w:rPr>
          <w:b w:val="0"/>
          <w:i w:val="0"/>
        </w:rPr>
        <w:t xml:space="preserve"> Interviewers record their notes in the recruitment system, not in personal files, limit them to evidence against the role criteria, and are told at interview training that the candidate may obtain the notes under a request. Tests and assessments are used only where PIMS-PRO-02 screening shows no automated decision in the sense of GDPR Article 22, or where a human reviews every rejection.</w:t>
      </w:r>
    </w:p>
    <w:p>
      <w:r>
        <w:rPr>
          <w:b w:val="0"/>
          <w:i w:val="0"/>
        </w:rPr>
        <w:t xml:space="preserve">4.3 </w:t>
      </w:r>
      <w:r>
        <w:rPr>
          <w:b/>
        </w:rPr>
        <w:t>Pre-employment checks.</w:t>
      </w:r>
      <w:r>
        <w:rPr>
          <w:b w:val="0"/>
          <w:i w:val="0"/>
        </w:rPr>
        <w:t xml:space="preserve"> Checks are proportionate to the role and recorded in GOV-PRO-18. Identity and right to work checks are kept as the law requires. Criminal record checks are run only for roles where the law permits them and the Privacy Officer has recorded the condition in PIMS-REG-01. Reference requests are sent only after the candidate agrees to them, and references received are held on the employee file.</w:t>
      </w:r>
    </w:p>
    <w:p>
      <w:r>
        <w:rPr>
          <w:b w:val="0"/>
          <w:i w:val="0"/>
        </w:rPr>
        <w:t xml:space="preserve">4.4 </w:t>
      </w:r>
      <w:r>
        <w:rPr>
          <w:b/>
        </w:rPr>
        <w:t>Unsuccessful applicants.</w:t>
      </w:r>
      <w:r>
        <w:rPr>
          <w:b w:val="0"/>
          <w:i w:val="0"/>
        </w:rPr>
        <w:t xml:space="preserve"> The HR Administrator deletes the data of unsuccessful applicants [Number] months after the decision, no later than twelve, unless the applicant has agreed in writing to be kept in a talent pool for a stated period. The deletion covers the recruitment system, email folders and interviewers' notes.</w:t>
      </w:r>
    </w:p>
    <w:p>
      <w:r>
        <w:rPr>
          <w:b w:val="0"/>
          <w:i w:val="0"/>
        </w:rPr>
        <w:t xml:space="preserve">4.5 </w:t>
      </w:r>
      <w:r>
        <w:rPr>
          <w:b/>
        </w:rPr>
        <w:t>Employment records.</w:t>
      </w:r>
      <w:r>
        <w:rPr>
          <w:b w:val="0"/>
          <w:i w:val="0"/>
        </w:rPr>
        <w:t xml:space="preserve"> On joining, the HR Administrator creates one employee record in the HR system, gives the employee the notice built from GDPR-TPL-02 with the contract, and records in GDPR-REG-05 the induction privacy training completed under GOV-PRO-08. Managers hold no local copies of contracts, pay details, absence reasons or performance records; they work in the HR system. Emergency contact details are collected with the contact's name, relationship and number only, and the employee is asked to tell the contact.</w:t>
      </w:r>
    </w:p>
    <w:p>
      <w:r>
        <w:rPr>
          <w:b w:val="0"/>
          <w:i w:val="0"/>
        </w:rPr>
        <w:t xml:space="preserve">4.6 </w:t>
      </w:r>
      <w:r>
        <w:rPr>
          <w:b/>
        </w:rPr>
        <w:t>Special category data.</w:t>
      </w:r>
      <w:r>
        <w:rPr>
          <w:b w:val="0"/>
          <w:i w:val="0"/>
        </w:rPr>
        <w:t xml:space="preserve"> Health data (absence reasons, adjustments, occupational health reports), trade union membership, and any other special category data is held in a restricted section of the HR system that only the people function and the Privacy Officer can read. Managers see fitness to work and adjustments needed, not diagnoses. Such data is processed under an employment law condition recorded in PIMS-REG-01, or with explicit consent collected with GDPR-TPL-06 where the law allows and the employee is free to refuse.</w:t>
      </w:r>
    </w:p>
    <w:p>
      <w:r>
        <w:rPr>
          <w:b w:val="0"/>
          <w:i w:val="0"/>
        </w:rPr>
        <w:t xml:space="preserve">4.7 </w:t>
      </w:r>
      <w:r>
        <w:rPr>
          <w:b/>
        </w:rPr>
        <w:t>Monitoring.</w:t>
      </w:r>
      <w:r>
        <w:rPr>
          <w:b w:val="0"/>
          <w:i w:val="0"/>
        </w:rPr>
        <w:t xml:space="preserve"> Monitoring of email, internet, devices, access logs or location is introduced only after the Privacy Officer and the Information Security Manager approve a written purpose and scope, the screening in PIMS-PRO-02 is complete, and staff have been told through the notice and GOV-POL-02. Monitoring is targeted at the purpose (security, legal compliance, safety), is not continuous surveillance of individuals, and covert monitoring is used only for a specific suspected serious offence, authorised by the Chief Executive Officer, for a fixed period, and recorded.</w:t>
      </w:r>
    </w:p>
    <w:p>
      <w:r>
        <w:rPr>
          <w:b w:val="0"/>
          <w:i w:val="0"/>
        </w:rPr>
        <w:t xml:space="preserve">4.8 </w:t>
      </w:r>
      <w:r>
        <w:rPr>
          <w:b/>
        </w:rPr>
        <w:t>Disclosures.</w:t>
      </w:r>
      <w:r>
        <w:rPr>
          <w:b w:val="0"/>
          <w:i w:val="0"/>
        </w:rPr>
        <w:t xml:space="preserve"> Workforce data is disclosed outside the people function only: to processors in PIMS-REG-06; to tax, social security and other authorities where the law requires; to a prospective employer giving a reference, limited to dates, role and, where the organisation's reference policy allows, factual performance statements; to a customer or client where the contract requires named staff details, limited to name, role and qualifications; to insurers and pension providers for the scheme concerned. Any other disclosure needs the Head of People's written approval and a lawful basis recorded by the Privacy Officer.</w:t>
      </w:r>
    </w:p>
    <w:p>
      <w:r>
        <w:rPr>
          <w:b w:val="0"/>
          <w:i w:val="0"/>
        </w:rPr>
        <w:t xml:space="preserve">4.9 </w:t>
      </w:r>
      <w:r>
        <w:rPr>
          <w:b/>
        </w:rPr>
        <w:t>Rights of the workforce.</w:t>
      </w:r>
      <w:r>
        <w:rPr>
          <w:b w:val="0"/>
          <w:i w:val="0"/>
        </w:rPr>
        <w:t xml:space="preserve"> Requests from applicants, employees and former staff follow PIMS-PRO-03. Access requests from employees are common in grievances and disciplinary processes; the HR Administrator searches the HR system, email of the people function and the relevant managers, and shared drives, and applies the exemptions for third party data and confidential references with the Privacy Officer.</w:t>
      </w:r>
    </w:p>
    <w:p>
      <w:r>
        <w:rPr>
          <w:b w:val="0"/>
          <w:i w:val="0"/>
        </w:rPr>
        <w:t xml:space="preserve">4.10 </w:t>
      </w:r>
      <w:r>
        <w:rPr>
          <w:b/>
        </w:rPr>
        <w:t>Leavers.</w:t>
      </w:r>
      <w:r>
        <w:rPr>
          <w:b w:val="0"/>
          <w:i w:val="0"/>
        </w:rPr>
        <w:t xml:space="preserve"> On the last day the HR Administrator triggers the offboarding tasks in GOV-CHK-01, moves the employee record to the leaver status, and records the leaving date as the retention trigger. Within thirty days the HR Administrator removes the person from distribution lists, internal directories and any system where their account was not removed by GOV-PRO-10, and confirms to the Privacy Officer.</w:t>
      </w:r>
    </w:p>
    <w:p>
      <w:r>
        <w:rPr>
          <w:b w:val="0"/>
          <w:i w:val="0"/>
        </w:rPr>
        <w:t xml:space="preserve">4.11 </w:t>
      </w:r>
      <w:r>
        <w:rPr>
          <w:b/>
        </w:rPr>
        <w:t>Retention and deletion.</w:t>
      </w:r>
      <w:r>
        <w:rPr>
          <w:b w:val="0"/>
          <w:i w:val="0"/>
        </w:rPr>
        <w:t xml:space="preserve"> Each HR category has a period in PIMS-REG-07: the employee file for [Number] years after leaving as employment and tax law require, payroll records for the statutory period, recruitment records under step 4.4, health and safety records for the period the law sets, monitoring records for no more than [Number] months unless part of an investigation. The HR Administrator runs the retention report quarterly, deletes expired records in the HR system, email and shared drives, asks processors in PIMS-REG-06 to confirm their deletion, and records the run.</w:t>
      </w:r>
    </w:p>
    <w:p>
      <w:r>
        <w:rPr>
          <w:b w:val="0"/>
          <w:i w:val="0"/>
        </w:rPr>
        <w:t xml:space="preserve">4.12 </w:t>
      </w:r>
      <w:r>
        <w:rPr>
          <w:b/>
        </w:rPr>
        <w:t>New HR tools and changes.</w:t>
      </w:r>
      <w:r>
        <w:rPr>
          <w:b w:val="0"/>
          <w:i w:val="0"/>
        </w:rPr>
        <w:t xml:space="preserve"> A new recruitment, HR, payroll, survey, wellbeing or monitoring tool goes through GOV-PRO-06 and GDPR-TPL-09, PIMS-PRO-02 screening, and the processing inventory update in GDPR-PRO-01 before any workforce data is entered.</w:t>
      </w:r>
    </w:p>
    <w:p>
      <w:pPr>
        <w:pStyle w:val="Heading1"/>
      </w:pPr>
      <w:r>
        <w:t>5. Records and evidence</w:t>
      </w:r>
    </w:p>
    <w:p>
      <w:pPr>
        <w:pStyle w:val="ListBullet"/>
      </w:pPr>
      <w:r>
        <w:rPr>
          <w:b w:val="0"/>
          <w:i w:val="0"/>
        </w:rPr>
        <w:t>PIMS-REG-01 rows for recruitment, employment administration, payroll, benefits, performance, absence and health, monitoring and references.</w:t>
      </w:r>
    </w:p>
    <w:p>
      <w:pPr>
        <w:pStyle w:val="ListBullet"/>
      </w:pPr>
      <w:r>
        <w:rPr>
          <w:b w:val="0"/>
          <w:i w:val="0"/>
        </w:rPr>
        <w:t>GDPR-REG-05 Privacy training register showing induction and HR handler training.</w:t>
      </w:r>
    </w:p>
    <w:p>
      <w:pPr>
        <w:pStyle w:val="ListBullet"/>
      </w:pPr>
      <w:r>
        <w:rPr>
          <w:b w:val="0"/>
          <w:i w:val="0"/>
        </w:rPr>
        <w:t>Retention report runs and deletion records under PIMS-REG-07.</w:t>
      </w:r>
    </w:p>
    <w:p>
      <w:pPr>
        <w:pStyle w:val="ListBullet"/>
      </w:pPr>
      <w:r>
        <w:rPr>
          <w:b w:val="0"/>
          <w:i w:val="0"/>
        </w:rPr>
        <w:t>PIMS-REG-02 entries for workforce requests.</w:t>
      </w:r>
    </w:p>
    <w:p>
      <w:pPr>
        <w:pStyle w:val="ListBullet"/>
      </w:pPr>
      <w:r>
        <w:rPr>
          <w:b w:val="0"/>
          <w:i w:val="0"/>
        </w:rPr>
        <w:t>Monitoring approvals and, where used, covert monitoring authorisations.</w:t>
      </w:r>
    </w:p>
    <w:p>
      <w:pPr>
        <w:pStyle w:val="ListBullet"/>
      </w:pPr>
      <w:r>
        <w:rPr>
          <w:b w:val="0"/>
          <w:i w:val="0"/>
        </w:rPr>
        <w:t>Disclosure approvals under step 4.8.</w:t>
      </w:r>
    </w:p>
    <w:p>
      <w:pPr>
        <w:pStyle w:val="ListBullet"/>
      </w:pPr>
      <w:r>
        <w:rPr>
          <w:b w:val="0"/>
          <w:i w:val="0"/>
        </w:rPr>
        <w:t>GOV-CHK-01 completed checklists for joiners and leavers.</w:t>
      </w:r>
    </w:p>
    <w:p>
      <w:pPr>
        <w:pStyle w:val="Heading1"/>
      </w:pPr>
      <w:r>
        <w:t>6. Exceptions</w:t>
      </w:r>
    </w:p>
    <w:p>
      <w:r>
        <w:rPr>
          <w:b w:val="0"/>
          <w:i w:val="0"/>
        </w:rPr>
        <w:t>Records subject to a legal hold, a live grievance, disciplinary case, claim or investigation are kept until the Head of People and the Privacy Officer release the hold in writing, and the hold is recorded on the retention report. No other exception applies.</w:t>
      </w:r>
    </w:p>
    <w:p>
      <w:pPr>
        <w:pStyle w:val="Heading1"/>
      </w:pPr>
      <w:r>
        <w:t>7. Review and maintenance</w:t>
      </w:r>
    </w:p>
    <w:p>
      <w:r>
        <w:rPr>
          <w:b w:val="0"/>
          <w:i w:val="0"/>
        </w:rPr>
        <w:t>The Privacy Officer and the Head of People review this procedure annually, after a change in employment or data protection law affecting the workforce, after a workforce-related breach or complaint, and after the introduction of a new HR system or monitoring tool. Changes follow GOV-PRO-01.</w:t>
      </w:r>
    </w:p>
    <w:p>
      <w:pPr>
        <w:pStyle w:val="Heading1"/>
      </w:pPr>
      <w:r>
        <w:t>8. Related documents</w:t>
      </w:r>
    </w:p>
    <w:p>
      <w:pPr>
        <w:pStyle w:val="ListBullet"/>
      </w:pPr>
      <w:r>
        <w:rPr>
          <w:b w:val="0"/>
          <w:i w:val="0"/>
        </w:rPr>
        <w:t>GDPR-TPL-02 Employee privacy notice template</w:t>
      </w:r>
    </w:p>
    <w:p>
      <w:pPr>
        <w:pStyle w:val="ListBullet"/>
      </w:pPr>
      <w:r>
        <w:rPr>
          <w:b w:val="0"/>
          <w:i w:val="0"/>
        </w:rPr>
        <w:t>GDPR-TPL-03 Job applicant privacy notice template</w:t>
      </w:r>
    </w:p>
    <w:p>
      <w:pPr>
        <w:pStyle w:val="ListBullet"/>
      </w:pPr>
      <w:r>
        <w:rPr>
          <w:b w:val="0"/>
          <w:i w:val="0"/>
        </w:rPr>
        <w:t>GDPR-TPL-06 Consent form templates (customers and employees)</w:t>
      </w:r>
    </w:p>
    <w:p>
      <w:pPr>
        <w:pStyle w:val="ListBullet"/>
      </w:pPr>
      <w:r>
        <w:rPr>
          <w:b w:val="0"/>
          <w:i w:val="0"/>
        </w:rPr>
        <w:t>GDPR-TPL-09 Supplier GDPR assessment questionnaire</w:t>
      </w:r>
    </w:p>
    <w:p>
      <w:pPr>
        <w:pStyle w:val="ListBullet"/>
      </w:pPr>
      <w:r>
        <w:rPr>
          <w:b w:val="0"/>
          <w:i w:val="0"/>
        </w:rPr>
        <w:t>GDPR-PRO-01 Data mapping and records of processing procedure</w:t>
      </w:r>
    </w:p>
    <w:p>
      <w:pPr>
        <w:pStyle w:val="ListBullet"/>
      </w:pPr>
      <w:r>
        <w:rPr>
          <w:b w:val="0"/>
          <w:i w:val="0"/>
        </w:rPr>
        <w:t>PIMS-PRO-02 Privacy risk and data protection impact assessment procedure</w:t>
      </w:r>
    </w:p>
    <w:p>
      <w:pPr>
        <w:pStyle w:val="ListBullet"/>
      </w:pPr>
      <w:r>
        <w:rPr>
          <w:b w:val="0"/>
          <w:i w:val="0"/>
        </w:rPr>
        <w:t>PIMS-PRO-03 Data subject rights handling procedure</w:t>
      </w:r>
    </w:p>
    <w:p>
      <w:pPr>
        <w:pStyle w:val="ListBullet"/>
      </w:pPr>
      <w:r>
        <w:rPr>
          <w:b w:val="0"/>
          <w:i w:val="0"/>
        </w:rPr>
        <w:t>PIMS-POL-02 Data retention and disposal policy</w:t>
      </w:r>
    </w:p>
    <w:p>
      <w:pPr>
        <w:pStyle w:val="ListBullet"/>
      </w:pPr>
      <w:r>
        <w:rPr>
          <w:b w:val="0"/>
          <w:i w:val="0"/>
        </w:rPr>
        <w:t>PIMS-TPL-02 Data processing agreement template</w:t>
      </w:r>
    </w:p>
    <w:p>
      <w:pPr>
        <w:pStyle w:val="ListBullet"/>
      </w:pPr>
      <w:r>
        <w:rPr>
          <w:b w:val="0"/>
          <w:i w:val="0"/>
        </w:rPr>
        <w:t>GOV-PRO-18 Human resources security procedure</w:t>
      </w:r>
    </w:p>
    <w:p>
      <w:pPr>
        <w:pStyle w:val="ListBullet"/>
      </w:pPr>
      <w:r>
        <w:rPr>
          <w:b w:val="0"/>
          <w:i w:val="0"/>
        </w:rPr>
        <w:t>GOV-PRO-10 Access management procedure (joiners, movers, leavers, privileged access, reviews)</w:t>
      </w:r>
    </w:p>
    <w:p>
      <w:pPr>
        <w:pStyle w:val="ListBullet"/>
      </w:pPr>
      <w:r>
        <w:rPr>
          <w:b w:val="0"/>
          <w:i w:val="0"/>
        </w:rPr>
        <w:t>GOV-POL-02 Acceptable use policy</w:t>
      </w:r>
    </w:p>
    <w:p>
      <w:pPr>
        <w:pStyle w:val="ListBullet"/>
      </w:pPr>
      <w:r>
        <w:rPr>
          <w:b w:val="0"/>
          <w:i w:val="0"/>
        </w:rPr>
        <w:t>GOV-CHK-01 Onboarding and offboarding security checklist</w:t>
      </w:r>
    </w:p>
    <w:p>
      <w:pPr>
        <w:pStyle w:val="ListBullet"/>
      </w:pPr>
      <w:r>
        <w:rPr>
          <w:b w:val="0"/>
          <w:i w:val="0"/>
        </w:rPr>
        <w:t>GOV-PRO-14 Logging, monitoring and alert handling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GDPR-PRO-02  |  HR data handling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