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GDPR-TPL-01</w:t>
      </w:r>
    </w:p>
    <w:p>
      <w:r>
        <w:rPr>
          <w:b/>
          <w:color w:val="0B2D4D"/>
          <w:sz w:val="44"/>
        </w:rPr>
        <w:t>Privacy notice template (customers and website)</w:t>
      </w:r>
    </w:p>
    <w:p>
      <w:r>
        <w:rPr>
          <w:i/>
          <w:color w:val="526478"/>
        </w:rPr>
        <w:t>The customer and website privacy notice with every element GDPR Articles 13 and 14 require, as sections with placeholders and guidance notes, maintained under PIMS-PRO-05.</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GDPR-TPL-01</w:t>
            </w:r>
          </w:p>
        </w:tc>
      </w:tr>
      <w:tr>
        <w:tc>
          <w:tcPr>
            <w:tcW w:type="dxa" w:w="2551"/>
            <w:shd w:val="clear" w:color="auto" w:fill="EEF3F8"/>
          </w:tcPr>
          <w:p>
            <w:pPr>
              <w:spacing w:after="40"/>
            </w:pPr>
            <w:r>
              <w:rPr>
                <w:b/>
                <w:sz w:val="19"/>
              </w:rPr>
              <w:t>Title</w:t>
            </w:r>
          </w:p>
        </w:tc>
        <w:tc>
          <w:tcPr>
            <w:tcW w:type="dxa" w:w="6803"/>
          </w:tcPr>
          <w:p>
            <w:pPr>
              <w:spacing w:after="40"/>
            </w:pPr>
            <w:r>
              <w:rPr>
                <w:sz w:val="19"/>
              </w:rPr>
              <w:t>Privacy notice template (customers and website)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GDPR</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GDPR Article 12; GDPR Article 13; GDPR Article 14; ISO/IEC 27701 Annex A 7.3.2; ISO/IEC 27701 Annex A 7.3.3</w:t>
            </w:r>
          </w:p>
        </w:tc>
      </w:tr>
      <w:tr>
        <w:tc>
          <w:tcPr>
            <w:tcW w:type="dxa" w:w="2551"/>
            <w:shd w:val="clear" w:color="auto" w:fill="EEF3F8"/>
          </w:tcPr>
          <w:p>
            <w:pPr>
              <w:spacing w:after="40"/>
            </w:pPr>
            <w:r>
              <w:rPr>
                <w:b/>
                <w:sz w:val="19"/>
              </w:rPr>
              <w:t>Owner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Approver (role)</w:t>
            </w:r>
          </w:p>
        </w:tc>
        <w:tc>
          <w:tcPr>
            <w:tcW w:type="dxa" w:w="6803"/>
          </w:tcPr>
          <w:p>
            <w:pPr>
              <w:spacing w:after="40"/>
            </w:pPr>
            <w:r>
              <w:rPr>
                <w:sz w:val="19"/>
              </w:rPr>
              <w:t>Privacy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Public</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r>
        <w:rPr>
          <w:i/>
        </w:rPr>
        <w:t>Guidance notes are in italics and are removed before publication. Every section below corresponds to an element the law requires; do not delete a section, write "not applicable" with a reason instead. Write for the reader, not the regulator: short sentences, no legal citations in the body, a reading age of about twelve. Each fact in this notice must match a row in PIMS-REG-01; the Privacy Officer checks the match before publication and after every change, and records the version in GOV-REG-01. Where data is obtained from someone other than the person, the notice is provided within one month, or at first contact or first disclosure if earlier.</w:t>
      </w:r>
    </w:p>
    <w:p>
      <w:pPr>
        <w:pStyle w:val="Heading1"/>
      </w:pPr>
      <w:r>
        <w:t>1. Who we are</w:t>
      </w:r>
    </w:p>
    <w:p>
      <w:r>
        <w:rPr>
          <w:b w:val="0"/>
          <w:i w:val="0"/>
        </w:rPr>
        <w:t xml:space="preserve">[Organisation], [registered address], is the controller of the personal data described in this notice. </w:t>
      </w:r>
      <w:r>
        <w:rPr>
          <w:i/>
        </w:rPr>
        <w:t>If a representative is appointed under GDPR Article 27, name it here with contact details. If the organisation acts as a processor for business customers, say so and point readers to the customer who decides how their data is used.</w:t>
      </w:r>
    </w:p>
    <w:p>
      <w:r>
        <w:rPr>
          <w:b w:val="0"/>
          <w:i w:val="0"/>
        </w:rPr>
        <w:t xml:space="preserve">You can contact us about anything in this notice at [contact channel]. </w:t>
      </w:r>
      <w:r>
        <w:rPr>
          <w:i/>
        </w:rPr>
        <w:t>Where a Data Protection Officer is designated, give the DPO's contact details here; they may be a role mailbox rather than a name.</w:t>
      </w:r>
    </w:p>
    <w:p>
      <w:pPr>
        <w:pStyle w:val="Heading1"/>
      </w:pPr>
      <w:r>
        <w:t>2. What this notice covers</w:t>
      </w:r>
    </w:p>
    <w:p>
      <w:r>
        <w:rPr>
          <w:b w:val="0"/>
          <w:i w:val="0"/>
        </w:rPr>
        <w:t xml:space="preserve">This notice explains what we do with personal data when you visit [website or application], create an account, use [Product or service], contact us, or receive marketing from us. </w:t>
      </w:r>
      <w:r>
        <w:rPr>
          <w:i/>
        </w:rPr>
        <w:t>List every audience the notice covers. Employees and applicants have their own notices built from GDPR-TPL-02 and GDPR-TPL-03. Cookies and similar technologies are covered in the notice built from GDPR-TPL-04 and may be linked from here.</w:t>
      </w:r>
    </w:p>
    <w:p>
      <w:pPr>
        <w:pStyle w:val="Heading1"/>
      </w:pPr>
      <w:r>
        <w:t>3. The data we collect and where it comes from</w:t>
      </w:r>
    </w:p>
    <w:p>
      <w:r>
        <w:rPr>
          <w:i/>
        </w:rPr>
        <w:t>One row per category of data. The "source" column satisfies the Article 14 requirement for data not collected from the person; include publicly available sources where used.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Category</w:t>
            </w:r>
          </w:p>
        </w:tc>
        <w:tc>
          <w:tcPr>
            <w:tcW w:type="dxa" w:w="3249"/>
            <w:shd w:val="clear" w:color="auto" w:fill="EEF3F8"/>
          </w:tcPr>
          <w:p>
            <w:pPr>
              <w:spacing w:after="40"/>
            </w:pPr>
            <w:r>
              <w:rPr>
                <w:b/>
                <w:i w:val="0"/>
                <w:sz w:val="19"/>
              </w:rPr>
              <w:t>Examples</w:t>
            </w:r>
          </w:p>
        </w:tc>
        <w:tc>
          <w:tcPr>
            <w:tcW w:type="dxa" w:w="3249"/>
            <w:shd w:val="clear" w:color="auto" w:fill="EEF3F8"/>
          </w:tcPr>
          <w:p>
            <w:pPr>
              <w:spacing w:after="40"/>
            </w:pPr>
            <w:r>
              <w:rPr>
                <w:b/>
                <w:i w:val="0"/>
                <w:sz w:val="19"/>
              </w:rPr>
              <w:t>Source</w:t>
            </w:r>
          </w:p>
        </w:tc>
      </w:tr>
      <w:tr>
        <w:tc>
          <w:tcPr>
            <w:tcW w:type="dxa" w:w="3249"/>
          </w:tcPr>
          <w:p>
            <w:pPr>
              <w:spacing w:after="40"/>
            </w:pPr>
            <w:r>
              <w:rPr>
                <w:b w:val="0"/>
                <w:i w:val="0"/>
                <w:sz w:val="19"/>
              </w:rPr>
              <w:t>Account and contact details</w:t>
            </w:r>
          </w:p>
        </w:tc>
        <w:tc>
          <w:tcPr>
            <w:tcW w:type="dxa" w:w="3249"/>
          </w:tcPr>
          <w:p>
            <w:pPr>
              <w:spacing w:after="40"/>
            </w:pPr>
            <w:r>
              <w:rPr>
                <w:b w:val="0"/>
                <w:i w:val="0"/>
                <w:sz w:val="19"/>
              </w:rPr>
              <w:t>[Name, email address, telephone number, organisation, role]</w:t>
            </w:r>
          </w:p>
        </w:tc>
        <w:tc>
          <w:tcPr>
            <w:tcW w:type="dxa" w:w="3249"/>
          </w:tcPr>
          <w:p>
            <w:pPr>
              <w:spacing w:after="40"/>
            </w:pPr>
            <w:r>
              <w:rPr>
                <w:b w:val="0"/>
                <w:i w:val="0"/>
                <w:sz w:val="19"/>
              </w:rPr>
              <w:t>You, when you register or contact us</w:t>
            </w:r>
          </w:p>
        </w:tc>
      </w:tr>
      <w:tr>
        <w:tc>
          <w:tcPr>
            <w:tcW w:type="dxa" w:w="3249"/>
          </w:tcPr>
          <w:p>
            <w:pPr>
              <w:spacing w:after="40"/>
            </w:pPr>
            <w:r>
              <w:rPr>
                <w:b w:val="0"/>
                <w:i w:val="0"/>
                <w:sz w:val="19"/>
              </w:rPr>
              <w:t>Content you provide</w:t>
            </w:r>
          </w:p>
        </w:tc>
        <w:tc>
          <w:tcPr>
            <w:tcW w:type="dxa" w:w="3249"/>
          </w:tcPr>
          <w:p>
            <w:pPr>
              <w:spacing w:after="40"/>
            </w:pPr>
            <w:r>
              <w:rPr>
                <w:b w:val="0"/>
                <w:i w:val="0"/>
                <w:sz w:val="19"/>
              </w:rPr>
              <w:t>[Files, messages, settings and other material you upload to the service]</w:t>
            </w:r>
          </w:p>
        </w:tc>
        <w:tc>
          <w:tcPr>
            <w:tcW w:type="dxa" w:w="3249"/>
          </w:tcPr>
          <w:p>
            <w:pPr>
              <w:spacing w:after="40"/>
            </w:pPr>
            <w:r>
              <w:rPr>
                <w:b w:val="0"/>
                <w:i w:val="0"/>
                <w:sz w:val="19"/>
              </w:rPr>
              <w:t>You</w:t>
            </w:r>
          </w:p>
        </w:tc>
      </w:tr>
      <w:tr>
        <w:tc>
          <w:tcPr>
            <w:tcW w:type="dxa" w:w="3249"/>
          </w:tcPr>
          <w:p>
            <w:pPr>
              <w:spacing w:after="40"/>
            </w:pPr>
            <w:r>
              <w:rPr>
                <w:b w:val="0"/>
                <w:i w:val="0"/>
                <w:sz w:val="19"/>
              </w:rPr>
              <w:t>Usage and device information</w:t>
            </w:r>
          </w:p>
        </w:tc>
        <w:tc>
          <w:tcPr>
            <w:tcW w:type="dxa" w:w="3249"/>
          </w:tcPr>
          <w:p>
            <w:pPr>
              <w:spacing w:after="40"/>
            </w:pPr>
            <w:r>
              <w:rPr>
                <w:b w:val="0"/>
                <w:i w:val="0"/>
                <w:sz w:val="19"/>
              </w:rPr>
              <w:t>[Pages viewed, features used, device type, browser, IP address, approximate location derived from it]</w:t>
            </w:r>
          </w:p>
        </w:tc>
        <w:tc>
          <w:tcPr>
            <w:tcW w:type="dxa" w:w="3249"/>
          </w:tcPr>
          <w:p>
            <w:pPr>
              <w:spacing w:after="40"/>
            </w:pPr>
            <w:r>
              <w:rPr>
                <w:b w:val="0"/>
                <w:i w:val="0"/>
                <w:sz w:val="19"/>
              </w:rPr>
              <w:t>Collected automatically when you use the service</w:t>
            </w:r>
          </w:p>
        </w:tc>
      </w:tr>
      <w:tr>
        <w:tc>
          <w:tcPr>
            <w:tcW w:type="dxa" w:w="3249"/>
          </w:tcPr>
          <w:p>
            <w:pPr>
              <w:spacing w:after="40"/>
            </w:pPr>
            <w:r>
              <w:rPr>
                <w:b w:val="0"/>
                <w:i w:val="0"/>
                <w:sz w:val="19"/>
              </w:rPr>
              <w:t>Transaction and billing data</w:t>
            </w:r>
          </w:p>
        </w:tc>
        <w:tc>
          <w:tcPr>
            <w:tcW w:type="dxa" w:w="3249"/>
          </w:tcPr>
          <w:p>
            <w:pPr>
              <w:spacing w:after="40"/>
            </w:pPr>
            <w:r>
              <w:rPr>
                <w:b w:val="0"/>
                <w:i w:val="0"/>
                <w:sz w:val="19"/>
              </w:rPr>
              <w:t>[Plan, invoices, payment status; card details are held by our payment provider, not by us]</w:t>
            </w:r>
          </w:p>
        </w:tc>
        <w:tc>
          <w:tcPr>
            <w:tcW w:type="dxa" w:w="3249"/>
          </w:tcPr>
          <w:p>
            <w:pPr>
              <w:spacing w:after="40"/>
            </w:pPr>
            <w:r>
              <w:rPr>
                <w:b w:val="0"/>
                <w:i w:val="0"/>
                <w:sz w:val="19"/>
              </w:rPr>
              <w:t>You and our payment provider</w:t>
            </w:r>
          </w:p>
        </w:tc>
      </w:tr>
      <w:tr>
        <w:tc>
          <w:tcPr>
            <w:tcW w:type="dxa" w:w="3249"/>
          </w:tcPr>
          <w:p>
            <w:pPr>
              <w:spacing w:after="40"/>
            </w:pPr>
            <w:r>
              <w:rPr>
                <w:b w:val="0"/>
                <w:i w:val="0"/>
                <w:sz w:val="19"/>
              </w:rPr>
              <w:t>Support and communications</w:t>
            </w:r>
          </w:p>
        </w:tc>
        <w:tc>
          <w:tcPr>
            <w:tcW w:type="dxa" w:w="3249"/>
          </w:tcPr>
          <w:p>
            <w:pPr>
              <w:spacing w:after="40"/>
            </w:pPr>
            <w:r>
              <w:rPr>
                <w:b w:val="0"/>
                <w:i w:val="0"/>
                <w:sz w:val="19"/>
              </w:rPr>
              <w:t>[Support tickets, call notes, survey responses]</w:t>
            </w:r>
          </w:p>
        </w:tc>
        <w:tc>
          <w:tcPr>
            <w:tcW w:type="dxa" w:w="3249"/>
          </w:tcPr>
          <w:p>
            <w:pPr>
              <w:spacing w:after="40"/>
            </w:pPr>
            <w:r>
              <w:rPr>
                <w:b w:val="0"/>
                <w:i w:val="0"/>
                <w:sz w:val="19"/>
              </w:rPr>
              <w:t>You</w:t>
            </w:r>
          </w:p>
        </w:tc>
      </w:tr>
      <w:tr>
        <w:tc>
          <w:tcPr>
            <w:tcW w:type="dxa" w:w="3249"/>
          </w:tcPr>
          <w:p>
            <w:pPr>
              <w:spacing w:after="40"/>
            </w:pPr>
            <w:r>
              <w:rPr>
                <w:b w:val="0"/>
                <w:i w:val="0"/>
                <w:sz w:val="19"/>
              </w:rPr>
              <w:t>Data from other sources</w:t>
            </w:r>
          </w:p>
        </w:tc>
        <w:tc>
          <w:tcPr>
            <w:tcW w:type="dxa" w:w="3249"/>
          </w:tcPr>
          <w:p>
            <w:pPr>
              <w:spacing w:after="40"/>
            </w:pPr>
            <w:r>
              <w:rPr>
                <w:b w:val="0"/>
                <w:i w:val="0"/>
                <w:sz w:val="19"/>
              </w:rPr>
              <w:t>[Business contact data from a data provider, information from a partner that referred you, public professional profiles]</w:t>
            </w:r>
          </w:p>
        </w:tc>
        <w:tc>
          <w:tcPr>
            <w:tcW w:type="dxa" w:w="3249"/>
          </w:tcPr>
          <w:p>
            <w:pPr>
              <w:spacing w:after="40"/>
            </w:pPr>
            <w:r>
              <w:rPr>
                <w:b w:val="0"/>
                <w:i w:val="0"/>
                <w:sz w:val="19"/>
              </w:rPr>
              <w:t>[Named category of source]</w:t>
            </w:r>
          </w:p>
        </w:tc>
      </w:tr>
    </w:tbl>
    <w:p/>
    <w:p>
      <w:pPr>
        <w:pStyle w:val="Heading1"/>
      </w:pPr>
      <w:r>
        <w:t>4. Why we use your data and the legal basis</w:t>
      </w:r>
    </w:p>
    <w:p>
      <w:r>
        <w:rPr>
          <w:i/>
        </w:rPr>
        <w:t>One row per purpose. Each purpose needs exactly one basis from: performance of a contract, legal obligation, legitimate interests (state the interest), consent, vital interests, public task. Where legitimate interests is the basis, the interest named here must match the GDPR-REG-03 entry. Where consent is the basis, say how to withdraw it.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Purpose</w:t>
            </w:r>
          </w:p>
        </w:tc>
        <w:tc>
          <w:tcPr>
            <w:tcW w:type="dxa" w:w="3249"/>
            <w:shd w:val="clear" w:color="auto" w:fill="EEF3F8"/>
          </w:tcPr>
          <w:p>
            <w:pPr>
              <w:spacing w:after="40"/>
            </w:pPr>
            <w:r>
              <w:rPr>
                <w:b/>
                <w:i w:val="0"/>
                <w:sz w:val="19"/>
              </w:rPr>
              <w:t>Data used</w:t>
            </w:r>
          </w:p>
        </w:tc>
        <w:tc>
          <w:tcPr>
            <w:tcW w:type="dxa" w:w="3249"/>
            <w:shd w:val="clear" w:color="auto" w:fill="EEF3F8"/>
          </w:tcPr>
          <w:p>
            <w:pPr>
              <w:spacing w:after="40"/>
            </w:pPr>
            <w:r>
              <w:rPr>
                <w:b/>
                <w:i w:val="0"/>
                <w:sz w:val="19"/>
              </w:rPr>
              <w:t>Legal basis</w:t>
            </w:r>
          </w:p>
        </w:tc>
      </w:tr>
      <w:tr>
        <w:tc>
          <w:tcPr>
            <w:tcW w:type="dxa" w:w="3249"/>
          </w:tcPr>
          <w:p>
            <w:pPr>
              <w:spacing w:after="40"/>
            </w:pPr>
            <w:r>
              <w:rPr>
                <w:b w:val="0"/>
                <w:i w:val="0"/>
                <w:sz w:val="19"/>
              </w:rPr>
              <w:t>Providing [Product or service], including creating your account and delivering the features you use</w:t>
            </w:r>
          </w:p>
        </w:tc>
        <w:tc>
          <w:tcPr>
            <w:tcW w:type="dxa" w:w="3249"/>
          </w:tcPr>
          <w:p>
            <w:pPr>
              <w:spacing w:after="40"/>
            </w:pPr>
            <w:r>
              <w:rPr>
                <w:b w:val="0"/>
                <w:i w:val="0"/>
                <w:sz w:val="19"/>
              </w:rPr>
              <w:t>Account details, content, usage information</w:t>
            </w:r>
          </w:p>
        </w:tc>
        <w:tc>
          <w:tcPr>
            <w:tcW w:type="dxa" w:w="3249"/>
          </w:tcPr>
          <w:p>
            <w:pPr>
              <w:spacing w:after="40"/>
            </w:pPr>
            <w:r>
              <w:rPr>
                <w:b w:val="0"/>
                <w:i w:val="0"/>
                <w:sz w:val="19"/>
              </w:rPr>
              <w:t>Performance of our contract with you</w:t>
            </w:r>
          </w:p>
        </w:tc>
      </w:tr>
      <w:tr>
        <w:tc>
          <w:tcPr>
            <w:tcW w:type="dxa" w:w="3249"/>
          </w:tcPr>
          <w:p>
            <w:pPr>
              <w:spacing w:after="40"/>
            </w:pPr>
            <w:r>
              <w:rPr>
                <w:b w:val="0"/>
                <w:i w:val="0"/>
                <w:sz w:val="19"/>
              </w:rPr>
              <w:t>Billing and collecting payment</w:t>
            </w:r>
          </w:p>
        </w:tc>
        <w:tc>
          <w:tcPr>
            <w:tcW w:type="dxa" w:w="3249"/>
          </w:tcPr>
          <w:p>
            <w:pPr>
              <w:spacing w:after="40"/>
            </w:pPr>
            <w:r>
              <w:rPr>
                <w:b w:val="0"/>
                <w:i w:val="0"/>
                <w:sz w:val="19"/>
              </w:rPr>
              <w:t>Account details, transaction data</w:t>
            </w:r>
          </w:p>
        </w:tc>
        <w:tc>
          <w:tcPr>
            <w:tcW w:type="dxa" w:w="3249"/>
          </w:tcPr>
          <w:p>
            <w:pPr>
              <w:spacing w:after="40"/>
            </w:pPr>
            <w:r>
              <w:rPr>
                <w:b w:val="0"/>
                <w:i w:val="0"/>
                <w:sz w:val="19"/>
              </w:rPr>
              <w:t>Performance of our contract; legal obligation for tax and accounting records</w:t>
            </w:r>
          </w:p>
        </w:tc>
      </w:tr>
      <w:tr>
        <w:tc>
          <w:tcPr>
            <w:tcW w:type="dxa" w:w="3249"/>
          </w:tcPr>
          <w:p>
            <w:pPr>
              <w:spacing w:after="40"/>
            </w:pPr>
            <w:r>
              <w:rPr>
                <w:b w:val="0"/>
                <w:i w:val="0"/>
                <w:sz w:val="19"/>
              </w:rPr>
              <w:t>Keeping the service secure, detecting fraud and abuse</w:t>
            </w:r>
          </w:p>
        </w:tc>
        <w:tc>
          <w:tcPr>
            <w:tcW w:type="dxa" w:w="3249"/>
          </w:tcPr>
          <w:p>
            <w:pPr>
              <w:spacing w:after="40"/>
            </w:pPr>
            <w:r>
              <w:rPr>
                <w:b w:val="0"/>
                <w:i w:val="0"/>
                <w:sz w:val="19"/>
              </w:rPr>
              <w:t>Usage and device information, account details</w:t>
            </w:r>
          </w:p>
        </w:tc>
        <w:tc>
          <w:tcPr>
            <w:tcW w:type="dxa" w:w="3249"/>
          </w:tcPr>
          <w:p>
            <w:pPr>
              <w:spacing w:after="40"/>
            </w:pPr>
            <w:r>
              <w:rPr>
                <w:b w:val="0"/>
                <w:i w:val="0"/>
                <w:sz w:val="19"/>
              </w:rPr>
              <w:t>Our legitimate interest in protecting the service and its users</w:t>
            </w:r>
          </w:p>
        </w:tc>
      </w:tr>
      <w:tr>
        <w:tc>
          <w:tcPr>
            <w:tcW w:type="dxa" w:w="3249"/>
          </w:tcPr>
          <w:p>
            <w:pPr>
              <w:spacing w:after="40"/>
            </w:pPr>
            <w:r>
              <w:rPr>
                <w:b w:val="0"/>
                <w:i w:val="0"/>
                <w:sz w:val="19"/>
              </w:rPr>
              <w:t>Improving the service and understanding how it is used</w:t>
            </w:r>
          </w:p>
        </w:tc>
        <w:tc>
          <w:tcPr>
            <w:tcW w:type="dxa" w:w="3249"/>
          </w:tcPr>
          <w:p>
            <w:pPr>
              <w:spacing w:after="40"/>
            </w:pPr>
            <w:r>
              <w:rPr>
                <w:b w:val="0"/>
                <w:i w:val="0"/>
                <w:sz w:val="19"/>
              </w:rPr>
              <w:t>Usage information, aggregated where possible</w:t>
            </w:r>
          </w:p>
        </w:tc>
        <w:tc>
          <w:tcPr>
            <w:tcW w:type="dxa" w:w="3249"/>
          </w:tcPr>
          <w:p>
            <w:pPr>
              <w:spacing w:after="40"/>
            </w:pPr>
            <w:r>
              <w:rPr>
                <w:b w:val="0"/>
                <w:i w:val="0"/>
                <w:sz w:val="19"/>
              </w:rPr>
              <w:t>Our legitimate interest in improving what we offer; consent for analytics cookies where required</w:t>
            </w:r>
          </w:p>
        </w:tc>
      </w:tr>
      <w:tr>
        <w:tc>
          <w:tcPr>
            <w:tcW w:type="dxa" w:w="3249"/>
          </w:tcPr>
          <w:p>
            <w:pPr>
              <w:spacing w:after="40"/>
            </w:pPr>
            <w:r>
              <w:rPr>
                <w:b w:val="0"/>
                <w:i w:val="0"/>
                <w:sz w:val="19"/>
              </w:rPr>
              <w:t>Responding to your questions and support requests</w:t>
            </w:r>
          </w:p>
        </w:tc>
        <w:tc>
          <w:tcPr>
            <w:tcW w:type="dxa" w:w="3249"/>
          </w:tcPr>
          <w:p>
            <w:pPr>
              <w:spacing w:after="40"/>
            </w:pPr>
            <w:r>
              <w:rPr>
                <w:b w:val="0"/>
                <w:i w:val="0"/>
                <w:sz w:val="19"/>
              </w:rPr>
              <w:t>Contact details, support communications</w:t>
            </w:r>
          </w:p>
        </w:tc>
        <w:tc>
          <w:tcPr>
            <w:tcW w:type="dxa" w:w="3249"/>
          </w:tcPr>
          <w:p>
            <w:pPr>
              <w:spacing w:after="40"/>
            </w:pPr>
            <w:r>
              <w:rPr>
                <w:b w:val="0"/>
                <w:i w:val="0"/>
                <w:sz w:val="19"/>
              </w:rPr>
              <w:t>Performance of our contract, or our legitimate interest in answering enquiries</w:t>
            </w:r>
          </w:p>
        </w:tc>
      </w:tr>
      <w:tr>
        <w:tc>
          <w:tcPr>
            <w:tcW w:type="dxa" w:w="3249"/>
          </w:tcPr>
          <w:p>
            <w:pPr>
              <w:spacing w:after="40"/>
            </w:pPr>
            <w:r>
              <w:rPr>
                <w:b w:val="0"/>
                <w:i w:val="0"/>
                <w:sz w:val="19"/>
              </w:rPr>
              <w:t>Sending you marketing about our products</w:t>
            </w:r>
          </w:p>
        </w:tc>
        <w:tc>
          <w:tcPr>
            <w:tcW w:type="dxa" w:w="3249"/>
          </w:tcPr>
          <w:p>
            <w:pPr>
              <w:spacing w:after="40"/>
            </w:pPr>
            <w:r>
              <w:rPr>
                <w:b w:val="0"/>
                <w:i w:val="0"/>
                <w:sz w:val="19"/>
              </w:rPr>
              <w:t>Contact details, usage information</w:t>
            </w:r>
          </w:p>
        </w:tc>
        <w:tc>
          <w:tcPr>
            <w:tcW w:type="dxa" w:w="3249"/>
          </w:tcPr>
          <w:p>
            <w:pPr>
              <w:spacing w:after="40"/>
            </w:pPr>
            <w:r>
              <w:rPr>
                <w:b w:val="0"/>
                <w:i w:val="0"/>
                <w:sz w:val="19"/>
              </w:rPr>
              <w:t>Consent, or our legitimate interest in marketing to existing customers where the law allows, with an opt-out in every message</w:t>
            </w:r>
          </w:p>
        </w:tc>
      </w:tr>
      <w:tr>
        <w:tc>
          <w:tcPr>
            <w:tcW w:type="dxa" w:w="3249"/>
          </w:tcPr>
          <w:p>
            <w:pPr>
              <w:spacing w:after="40"/>
            </w:pPr>
            <w:r>
              <w:rPr>
                <w:b w:val="0"/>
                <w:i w:val="0"/>
                <w:sz w:val="19"/>
              </w:rPr>
              <w:t>Complying with the law and responding to lawful requests</w:t>
            </w:r>
          </w:p>
        </w:tc>
        <w:tc>
          <w:tcPr>
            <w:tcW w:type="dxa" w:w="3249"/>
          </w:tcPr>
          <w:p>
            <w:pPr>
              <w:spacing w:after="40"/>
            </w:pPr>
            <w:r>
              <w:rPr>
                <w:b w:val="0"/>
                <w:i w:val="0"/>
                <w:sz w:val="19"/>
              </w:rPr>
              <w:t>Any category, as required</w:t>
            </w:r>
          </w:p>
        </w:tc>
        <w:tc>
          <w:tcPr>
            <w:tcW w:type="dxa" w:w="3249"/>
          </w:tcPr>
          <w:p>
            <w:pPr>
              <w:spacing w:after="40"/>
            </w:pPr>
            <w:r>
              <w:rPr>
                <w:b w:val="0"/>
                <w:i w:val="0"/>
                <w:sz w:val="19"/>
              </w:rPr>
              <w:t>Legal obligation</w:t>
            </w:r>
          </w:p>
        </w:tc>
      </w:tr>
      <w:tr>
        <w:tc>
          <w:tcPr>
            <w:tcW w:type="dxa" w:w="3249"/>
          </w:tcPr>
          <w:p>
            <w:pPr>
              <w:spacing w:after="40"/>
            </w:pPr>
            <w:r>
              <w:rPr>
                <w:b w:val="0"/>
                <w:i w:val="0"/>
                <w:sz w:val="19"/>
              </w:rPr>
              <w:t>[Features that use machine learning, for example suggestions or classification]</w:t>
            </w:r>
          </w:p>
        </w:tc>
        <w:tc>
          <w:tcPr>
            <w:tcW w:type="dxa" w:w="3249"/>
          </w:tcPr>
          <w:p>
            <w:pPr>
              <w:spacing w:after="40"/>
            </w:pPr>
            <w:r>
              <w:rPr>
                <w:b w:val="0"/>
                <w:i w:val="0"/>
                <w:sz w:val="19"/>
              </w:rPr>
              <w:t>[Content and usage data described precisely]</w:t>
            </w:r>
          </w:p>
        </w:tc>
        <w:tc>
          <w:tcPr>
            <w:tcW w:type="dxa" w:w="3249"/>
          </w:tcPr>
          <w:p>
            <w:pPr>
              <w:spacing w:after="40"/>
            </w:pPr>
            <w:r>
              <w:rPr>
                <w:b w:val="0"/>
                <w:i w:val="0"/>
                <w:sz w:val="19"/>
              </w:rPr>
              <w:t xml:space="preserve">[Basis]. </w:t>
            </w:r>
            <w:r>
              <w:rPr>
                <w:i/>
                <w:sz w:val="19"/>
              </w:rPr>
              <w:t>Say whether the data is used to train models, and if so on what basis; say whether a human reviews outputs that affect you.</w:t>
            </w:r>
          </w:p>
        </w:tc>
      </w:tr>
    </w:tbl>
    <w:p/>
    <w:p>
      <w:pPr>
        <w:pStyle w:val="Heading1"/>
      </w:pPr>
      <w:r>
        <w:t>5. Automated decisions</w:t>
      </w:r>
    </w:p>
    <w:p>
      <w:r>
        <w:rPr>
          <w:i/>
        </w:rPr>
        <w:t>Required where decisions with legal or similarly significant effects are made solely by automated means. If none, keep the first sentence.</w:t>
      </w:r>
    </w:p>
    <w:p>
      <w:r>
        <w:rPr>
          <w:b w:val="0"/>
          <w:i w:val="0"/>
        </w:rPr>
        <w:t>We do not make decisions about you based solely on automated processing that have legal or similarly significant effects on you. [If this changes, we will tell you how the decision is made, why it matters and how to ask for a person to review it.]</w:t>
      </w:r>
    </w:p>
    <w:p>
      <w:pPr>
        <w:pStyle w:val="Heading1"/>
      </w:pPr>
      <w:r>
        <w:t>6. Who we share your data with</w:t>
      </w:r>
    </w:p>
    <w:p>
      <w:r>
        <w:rPr>
          <w:i/>
        </w:rPr>
        <w:t>List categories of recipients, and name them where the reader would reasonably expect it. Every processor listed here is in PIMS-REG-06. Sharing between group companies counts as sharing.</w:t>
      </w:r>
    </w:p>
    <w:p>
      <w:pPr>
        <w:pStyle w:val="ListBullet"/>
      </w:pPr>
      <w:r>
        <w:rPr>
          <w:b w:val="0"/>
          <w:i w:val="0"/>
        </w:rPr>
        <w:t>Service providers that act on our instructions: [hosting, email delivery, payment processing, customer support tools, analytics]. They may only use your data to provide their service to us.</w:t>
      </w:r>
    </w:p>
    <w:p>
      <w:pPr>
        <w:pStyle w:val="ListBullet"/>
      </w:pPr>
      <w:r>
        <w:rPr>
          <w:b w:val="0"/>
          <w:i w:val="0"/>
        </w:rPr>
        <w:t>[Group companies], for [purpose].</w:t>
      </w:r>
    </w:p>
    <w:p>
      <w:pPr>
        <w:pStyle w:val="ListBullet"/>
      </w:pPr>
      <w:r>
        <w:rPr>
          <w:b w:val="0"/>
          <w:i w:val="0"/>
        </w:rPr>
        <w:t>Professional advisers, insurers and auditors, where needed.</w:t>
      </w:r>
    </w:p>
    <w:p>
      <w:pPr>
        <w:pStyle w:val="ListBullet"/>
      </w:pPr>
      <w:r>
        <w:rPr>
          <w:b w:val="0"/>
          <w:i w:val="0"/>
        </w:rPr>
        <w:t>Authorities, regulators and courts, where the law requires or allows it.</w:t>
      </w:r>
    </w:p>
    <w:p>
      <w:pPr>
        <w:pStyle w:val="ListBullet"/>
      </w:pPr>
      <w:r>
        <w:rPr>
          <w:b w:val="0"/>
          <w:i w:val="0"/>
        </w:rPr>
        <w:t>A buyer or successor, if our business or part of it is sold or reorganised, under confidentiality terms.</w:t>
      </w:r>
    </w:p>
    <w:p>
      <w:r>
        <w:rPr>
          <w:b w:val="0"/>
          <w:i w:val="0"/>
        </w:rPr>
        <w:t>We do not sell your personal data.</w:t>
      </w:r>
    </w:p>
    <w:p>
      <w:pPr>
        <w:pStyle w:val="Heading1"/>
      </w:pPr>
      <w:r>
        <w:t>7. Where your data is stored and international transfers</w:t>
      </w:r>
    </w:p>
    <w:p>
      <w:r>
        <w:rPr>
          <w:b w:val="0"/>
          <w:i w:val="0"/>
        </w:rPr>
        <w:t xml:space="preserve">Your data is stored in [country or region]. </w:t>
      </w:r>
      <w:r>
        <w:rPr>
          <w:i/>
        </w:rPr>
        <w:t>State every country where data is stored, supported from or processed, including by processors; this must match PIMS-REG-05 and GDPR-REG-02.</w:t>
      </w:r>
    </w:p>
    <w:p>
      <w:r>
        <w:rPr>
          <w:b w:val="0"/>
          <w:i w:val="0"/>
        </w:rPr>
        <w:t xml:space="preserve">Where we transfer your data outside [region], we rely on [an adequacy decision by the relevant authority, standard contractual clauses approved by the relevant authority, binding corporate rules, or a derogation such as your explicit consent or the performance of your contract]. You can ask us for a copy of the safeguards we use at the contact in section 1. </w:t>
      </w:r>
      <w:r>
        <w:rPr>
          <w:i/>
        </w:rPr>
        <w:t>Name the mechanism per destination; never write "appropriate safeguards" alone.</w:t>
      </w:r>
    </w:p>
    <w:p>
      <w:pPr>
        <w:pStyle w:val="Heading1"/>
      </w:pPr>
      <w:r>
        <w:t>8. How long we keep your data</w:t>
      </w:r>
    </w:p>
    <w:p>
      <w:r>
        <w:rPr>
          <w:i/>
        </w:rPr>
        <w:t>One row per category, matching PIMS-REG-07. Where a fixed period cannot be stated, give the criteria used to decide it.</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Category</w:t>
            </w:r>
          </w:p>
        </w:tc>
        <w:tc>
          <w:tcPr>
            <w:tcW w:type="dxa" w:w="4873"/>
            <w:shd w:val="clear" w:color="auto" w:fill="EEF3F8"/>
          </w:tcPr>
          <w:p>
            <w:pPr>
              <w:spacing w:after="40"/>
            </w:pPr>
            <w:r>
              <w:rPr>
                <w:b/>
                <w:i w:val="0"/>
                <w:sz w:val="19"/>
              </w:rPr>
              <w:t>Period</w:t>
            </w:r>
          </w:p>
        </w:tc>
      </w:tr>
      <w:tr>
        <w:tc>
          <w:tcPr>
            <w:tcW w:type="dxa" w:w="4873"/>
          </w:tcPr>
          <w:p>
            <w:pPr>
              <w:spacing w:after="40"/>
            </w:pPr>
            <w:r>
              <w:rPr>
                <w:b w:val="0"/>
                <w:i w:val="0"/>
                <w:sz w:val="19"/>
              </w:rPr>
              <w:t>Account and content</w:t>
            </w:r>
          </w:p>
        </w:tc>
        <w:tc>
          <w:tcPr>
            <w:tcW w:type="dxa" w:w="4873"/>
          </w:tcPr>
          <w:p>
            <w:pPr>
              <w:spacing w:after="40"/>
            </w:pPr>
            <w:r>
              <w:rPr>
                <w:b w:val="0"/>
                <w:i w:val="0"/>
                <w:sz w:val="19"/>
              </w:rPr>
              <w:t>For as long as your account is open, then deleted within [Number] days of closure, except where we must keep it longer by law</w:t>
            </w:r>
          </w:p>
        </w:tc>
      </w:tr>
      <w:tr>
        <w:tc>
          <w:tcPr>
            <w:tcW w:type="dxa" w:w="4873"/>
          </w:tcPr>
          <w:p>
            <w:pPr>
              <w:spacing w:after="40"/>
            </w:pPr>
            <w:r>
              <w:rPr>
                <w:b w:val="0"/>
                <w:i w:val="0"/>
                <w:sz w:val="19"/>
              </w:rPr>
              <w:t>Billing and transaction records</w:t>
            </w:r>
          </w:p>
        </w:tc>
        <w:tc>
          <w:tcPr>
            <w:tcW w:type="dxa" w:w="4873"/>
          </w:tcPr>
          <w:p>
            <w:pPr>
              <w:spacing w:after="40"/>
            </w:pPr>
            <w:r>
              <w:rPr>
                <w:b w:val="0"/>
                <w:i w:val="0"/>
                <w:sz w:val="19"/>
              </w:rPr>
              <w:t>[Number] years after the transaction, as tax and accounting law require</w:t>
            </w:r>
          </w:p>
        </w:tc>
      </w:tr>
      <w:tr>
        <w:tc>
          <w:tcPr>
            <w:tcW w:type="dxa" w:w="4873"/>
          </w:tcPr>
          <w:p>
            <w:pPr>
              <w:spacing w:after="40"/>
            </w:pPr>
            <w:r>
              <w:rPr>
                <w:b w:val="0"/>
                <w:i w:val="0"/>
                <w:sz w:val="19"/>
              </w:rPr>
              <w:t>Usage and device logs</w:t>
            </w:r>
          </w:p>
        </w:tc>
        <w:tc>
          <w:tcPr>
            <w:tcW w:type="dxa" w:w="4873"/>
          </w:tcPr>
          <w:p>
            <w:pPr>
              <w:spacing w:after="40"/>
            </w:pPr>
            <w:r>
              <w:rPr>
                <w:b w:val="0"/>
                <w:i w:val="0"/>
                <w:sz w:val="19"/>
              </w:rPr>
              <w:t>[Number] months</w:t>
            </w:r>
          </w:p>
        </w:tc>
      </w:tr>
      <w:tr>
        <w:tc>
          <w:tcPr>
            <w:tcW w:type="dxa" w:w="4873"/>
          </w:tcPr>
          <w:p>
            <w:pPr>
              <w:spacing w:after="40"/>
            </w:pPr>
            <w:r>
              <w:rPr>
                <w:b w:val="0"/>
                <w:i w:val="0"/>
                <w:sz w:val="19"/>
              </w:rPr>
              <w:t>Support communications</w:t>
            </w:r>
          </w:p>
        </w:tc>
        <w:tc>
          <w:tcPr>
            <w:tcW w:type="dxa" w:w="4873"/>
          </w:tcPr>
          <w:p>
            <w:pPr>
              <w:spacing w:after="40"/>
            </w:pPr>
            <w:r>
              <w:rPr>
                <w:b w:val="0"/>
                <w:i w:val="0"/>
                <w:sz w:val="19"/>
              </w:rPr>
              <w:t>[Number] years after the ticket is closed</w:t>
            </w:r>
          </w:p>
        </w:tc>
      </w:tr>
      <w:tr>
        <w:tc>
          <w:tcPr>
            <w:tcW w:type="dxa" w:w="4873"/>
          </w:tcPr>
          <w:p>
            <w:pPr>
              <w:spacing w:after="40"/>
            </w:pPr>
            <w:r>
              <w:rPr>
                <w:b w:val="0"/>
                <w:i w:val="0"/>
                <w:sz w:val="19"/>
              </w:rPr>
              <w:t>Marketing preferences and consent records</w:t>
            </w:r>
          </w:p>
        </w:tc>
        <w:tc>
          <w:tcPr>
            <w:tcW w:type="dxa" w:w="4873"/>
          </w:tcPr>
          <w:p>
            <w:pPr>
              <w:spacing w:after="40"/>
            </w:pPr>
            <w:r>
              <w:rPr>
                <w:b w:val="0"/>
                <w:i w:val="0"/>
                <w:sz w:val="19"/>
              </w:rPr>
              <w:t>Until you withdraw consent or object, and then a record of your choice for [Number] years so that we respect it</w:t>
            </w:r>
          </w:p>
        </w:tc>
      </w:tr>
    </w:tbl>
    <w:p/>
    <w:p>
      <w:pPr>
        <w:pStyle w:val="Heading1"/>
      </w:pPr>
      <w:r>
        <w:t>9. Your rights</w:t>
      </w:r>
    </w:p>
    <w:p>
      <w:r>
        <w:rPr>
          <w:b w:val="0"/>
          <w:i w:val="0"/>
        </w:rPr>
        <w:t>You have the right to ask us for access to your personal data, to correct it, to delete it, to restrict how we use it, to receive it in a portable format, and to object to processing based on our legitimate interests. Where we rely on your consent, you may withdraw it at any time without affecting what was done before. You may object to direct marketing at any time and we will stop.</w:t>
      </w:r>
    </w:p>
    <w:p>
      <w:r>
        <w:rPr>
          <w:b w:val="0"/>
          <w:i w:val="0"/>
        </w:rPr>
        <w:t xml:space="preserve">To exercise a right, contact us at [contact channel]. We will respond within one month and tell you if we need longer. We may ask you to confirm your identity. </w:t>
      </w:r>
      <w:r>
        <w:rPr>
          <w:i/>
        </w:rPr>
        <w:t>The response process is PIMS-PRO-03; the letters are in GDPR-TPL-05.</w:t>
      </w:r>
    </w:p>
    <w:p>
      <w:r>
        <w:rPr>
          <w:b w:val="0"/>
          <w:i w:val="0"/>
        </w:rPr>
        <w:t>You also have the right to complain to a supervisory authority. Ours is [name of supervisory authority]. We would appreciate the chance to resolve your concern first, but you may contact the authority at any time.</w:t>
      </w:r>
    </w:p>
    <w:p>
      <w:pPr>
        <w:pStyle w:val="Heading1"/>
      </w:pPr>
      <w:r>
        <w:t>10. Whether you must provide your data</w:t>
      </w:r>
    </w:p>
    <w:p>
      <w:r>
        <w:rPr>
          <w:i/>
        </w:rPr>
        <w:t>Required where data is collected from the person. State what is needed for the contract or by law and what happens if it is not provided.</w:t>
      </w:r>
    </w:p>
    <w:p>
      <w:r>
        <w:rPr>
          <w:b w:val="0"/>
          <w:i w:val="0"/>
        </w:rPr>
        <w:t>To open an account and use [Product or service] you must give us [the data marked as required on the sign-up form]. Without it we cannot provide the service. All other data is optional, and we tell you when it is.</w:t>
      </w:r>
    </w:p>
    <w:p>
      <w:pPr>
        <w:pStyle w:val="Heading1"/>
      </w:pPr>
      <w:r>
        <w:t>11. Children</w:t>
      </w:r>
    </w:p>
    <w:p>
      <w:r>
        <w:rPr>
          <w:b w:val="0"/>
          <w:i w:val="0"/>
        </w:rPr>
        <w:t xml:space="preserve">[Product or service] is not intended for children under [Number]. We do not knowingly collect data from them. </w:t>
      </w:r>
      <w:r>
        <w:rPr>
          <w:i/>
        </w:rPr>
        <w:t>Where the service is offered to children, describe the age check and how parental consent is obtained, under PIMS-PRO-05.</w:t>
      </w:r>
    </w:p>
    <w:p>
      <w:pPr>
        <w:pStyle w:val="Heading1"/>
      </w:pPr>
      <w:r>
        <w:t>12. Changes to this notice</w:t>
      </w:r>
    </w:p>
    <w:p>
      <w:r>
        <w:rPr>
          <w:b w:val="0"/>
          <w:i w:val="0"/>
        </w:rPr>
        <w:t xml:space="preserve">We will post any change here, with the date, and will tell you by [channel] before a change that affects how we use data we already hold about you. </w:t>
      </w:r>
      <w:r>
        <w:rPr>
          <w:i/>
        </w:rPr>
        <w:t>Material changes follow PIMS-PRO-05 and are recorded in GOV-REG-01 with the previous versions kept.</w:t>
      </w:r>
    </w:p>
    <w:p>
      <w:r>
        <w:rPr>
          <w:b w:val="0"/>
          <w:i w:val="0"/>
        </w:rPr>
        <w:t>Version [Number], effective [Date].</w:t>
      </w:r>
    </w:p>
    <w:p>
      <w:pPr>
        <w:pStyle w:val="Heading1"/>
      </w:pPr>
      <w:r>
        <w:t>13. Related documents</w:t>
      </w:r>
    </w:p>
    <w:p>
      <w:pPr>
        <w:pStyle w:val="ListBullet"/>
      </w:pPr>
      <w:r>
        <w:rPr>
          <w:b w:val="0"/>
          <w:i w:val="0"/>
        </w:rPr>
        <w:t>PIMS-PRO-05 Consent and privacy notice management procedure</w:t>
      </w:r>
    </w:p>
    <w:p>
      <w:pPr>
        <w:pStyle w:val="ListBullet"/>
      </w:pPr>
      <w:r>
        <w:rPr>
          <w:b w:val="0"/>
          <w:i w:val="0"/>
        </w:rPr>
        <w:t>PIMS-REG-01 Personal data processing inventory</w:t>
      </w:r>
    </w:p>
    <w:p>
      <w:pPr>
        <w:pStyle w:val="ListBullet"/>
      </w:pPr>
      <w:r>
        <w:rPr>
          <w:b w:val="0"/>
          <w:i w:val="0"/>
        </w:rPr>
        <w:t>PIMS-REG-05 International transfer register</w:t>
      </w:r>
    </w:p>
    <w:p>
      <w:pPr>
        <w:pStyle w:val="ListBullet"/>
      </w:pPr>
      <w:r>
        <w:rPr>
          <w:b w:val="0"/>
          <w:i w:val="0"/>
        </w:rPr>
        <w:t>PIMS-REG-06 Processor and sub-processor register</w:t>
      </w:r>
    </w:p>
    <w:p>
      <w:pPr>
        <w:pStyle w:val="ListBullet"/>
      </w:pPr>
      <w:r>
        <w:rPr>
          <w:b w:val="0"/>
          <w:i w:val="0"/>
        </w:rPr>
        <w:t>PIMS-REG-07 Retention schedule</w:t>
      </w:r>
    </w:p>
    <w:p>
      <w:pPr>
        <w:pStyle w:val="ListBullet"/>
      </w:pPr>
      <w:r>
        <w:rPr>
          <w:b w:val="0"/>
          <w:i w:val="0"/>
        </w:rPr>
        <w:t>GDPR-REG-03 Legitimate interests assessment register</w:t>
      </w:r>
    </w:p>
    <w:p>
      <w:pPr>
        <w:pStyle w:val="ListBullet"/>
      </w:pPr>
      <w:r>
        <w:rPr>
          <w:b w:val="0"/>
          <w:i w:val="0"/>
        </w:rPr>
        <w:t>GDPR-TPL-04 Cookie and tracking technologies notice template</w:t>
      </w:r>
    </w:p>
    <w:p>
      <w:pPr>
        <w:pStyle w:val="ListBullet"/>
      </w:pPr>
      <w:r>
        <w:rPr>
          <w:b w:val="0"/>
          <w:i w:val="0"/>
        </w:rPr>
        <w:t>GDPR-TPL-05 Data subject request response letters</w:t>
      </w:r>
    </w:p>
    <w:p>
      <w:pPr>
        <w:pStyle w:val="ListBullet"/>
      </w:pPr>
      <w:r>
        <w:rPr>
          <w:b w:val="0"/>
          <w:i w:val="0"/>
        </w:rPr>
        <w:t>PIMS-PRO-03 Data subject rights handling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GDPR-TPL-01  |  Privacy notice template (customers and website)  |  Version 1.0  |  Public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