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GOV-PRO-18</w:t>
      </w:r>
    </w:p>
    <w:p>
      <w:r>
        <w:rPr>
          <w:b/>
          <w:color w:val="0B2D4D"/>
          <w:sz w:val="44"/>
        </w:rPr>
        <w:t>Human resources security procedure</w:t>
      </w:r>
    </w:p>
    <w:p>
      <w:r>
        <w:rPr>
          <w:i/>
          <w:color w:val="526478"/>
        </w:rPr>
        <w:t>How [Organisation] screens people before they join, binds them to security and confidentiality obligations, handles breaches through a fair disciplinary process, and manages security at change of role and departure, with contractors held to the same standard.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GOV-PRO-18</w:t>
            </w:r>
          </w:p>
        </w:tc>
      </w:tr>
      <w:tr>
        <w:tc>
          <w:tcPr>
            <w:tcW w:type="dxa" w:w="2551"/>
            <w:shd w:val="clear" w:color="auto" w:fill="EEF3F8"/>
          </w:tcPr>
          <w:p>
            <w:pPr>
              <w:spacing w:after="40"/>
            </w:pPr>
            <w:r>
              <w:rPr>
                <w:b/>
                <w:sz w:val="19"/>
              </w:rPr>
              <w:t>Title</w:t>
            </w:r>
          </w:p>
        </w:tc>
        <w:tc>
          <w:tcPr>
            <w:tcW w:type="dxa" w:w="6803"/>
          </w:tcPr>
          <w:p>
            <w:pPr>
              <w:spacing w:after="40"/>
            </w:pPr>
            <w:r>
              <w:rPr>
                <w:sz w:val="19"/>
              </w:rPr>
              <w:t>Human resources security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6.1; ISO/IEC 27001:2022 Annex A 6.2; ISO/IEC 27001:2022 Annex A 6.4; ISO/IEC 27001:2022 Annex A 6.5; ISO/IEC 27001:2022 Annex A 6.6; SOC 2 CC1.1; SOC 2 CC1.4; SOC 2 CC1.5</w:t>
            </w:r>
          </w:p>
        </w:tc>
      </w:tr>
      <w:tr>
        <w:tc>
          <w:tcPr>
            <w:tcW w:type="dxa" w:w="2551"/>
            <w:shd w:val="clear" w:color="auto" w:fill="EEF3F8"/>
          </w:tcPr>
          <w:p>
            <w:pPr>
              <w:spacing w:after="40"/>
            </w:pPr>
            <w:r>
              <w:rPr>
                <w:b/>
                <w:sz w:val="19"/>
              </w:rPr>
              <w:t>Owner (role)</w:t>
            </w:r>
          </w:p>
        </w:tc>
        <w:tc>
          <w:tcPr>
            <w:tcW w:type="dxa" w:w="6803"/>
          </w:tcPr>
          <w:p>
            <w:pPr>
              <w:spacing w:after="40"/>
            </w:pPr>
            <w:r>
              <w:rPr>
                <w:sz w:val="19"/>
              </w:rPr>
              <w:t>Human Resources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makes sure that the people who work for [Organisation] are suitable for their roles, understand their security and privacy obligations before they start, are held to them fairly while they work, and leave without taking information or access with them.</w:t>
      </w:r>
    </w:p>
    <w:p>
      <w:pPr>
        <w:pStyle w:val="Heading1"/>
      </w:pPr>
      <w:r>
        <w:t>2. Scope</w:t>
      </w:r>
    </w:p>
    <w:p>
      <w:r>
        <w:rPr>
          <w:b w:val="0"/>
          <w:i w:val="0"/>
        </w:rPr>
        <w:t>It applies to employees, contractors, agency staff, temporary staff and interns, from the point an offer is made until obligations after departure expire. Supplier personnel are covered through the supplier contract under GOV-PRO-06.</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Human Resources Manager</w:t>
            </w:r>
          </w:p>
        </w:tc>
        <w:tc>
          <w:tcPr>
            <w:tcW w:type="dxa" w:w="4873"/>
          </w:tcPr>
          <w:p>
            <w:pPr>
              <w:spacing w:after="40"/>
            </w:pPr>
            <w:r>
              <w:rPr>
                <w:b w:val="0"/>
                <w:i w:val="0"/>
                <w:sz w:val="19"/>
              </w:rPr>
              <w:t>Owns this procedure, runs screening, issues contracts, keeps GOV-REG-23, runs the disciplinary process.</w:t>
            </w:r>
          </w:p>
        </w:tc>
      </w:tr>
      <w:tr>
        <w:tc>
          <w:tcPr>
            <w:tcW w:type="dxa" w:w="4873"/>
          </w:tcPr>
          <w:p>
            <w:pPr>
              <w:spacing w:after="40"/>
            </w:pPr>
            <w:r>
              <w:rPr>
                <w:b w:val="0"/>
                <w:i w:val="0"/>
                <w:sz w:val="19"/>
              </w:rPr>
              <w:t>Hiring manager</w:t>
            </w:r>
          </w:p>
        </w:tc>
        <w:tc>
          <w:tcPr>
            <w:tcW w:type="dxa" w:w="4873"/>
          </w:tcPr>
          <w:p>
            <w:pPr>
              <w:spacing w:after="40"/>
            </w:pPr>
            <w:r>
              <w:rPr>
                <w:b w:val="0"/>
                <w:i w:val="0"/>
                <w:sz w:val="19"/>
              </w:rPr>
              <w:t>Sets the screening level with the Information Security Manager, confirms the role's access needs.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Agrees screening levels, investigates suspected security breaches with Human Resources, confirms leaver access removal.</w:t>
            </w:r>
          </w:p>
        </w:tc>
      </w:tr>
      <w:tr>
        <w:tc>
          <w:tcPr>
            <w:tcW w:type="dxa" w:w="4873"/>
          </w:tcPr>
          <w:p>
            <w:pPr>
              <w:spacing w:after="40"/>
            </w:pPr>
            <w:r>
              <w:rPr>
                <w:b w:val="0"/>
                <w:i w:val="0"/>
                <w:sz w:val="19"/>
              </w:rPr>
              <w:t>Privacy Officer</w:t>
            </w:r>
          </w:p>
        </w:tc>
        <w:tc>
          <w:tcPr>
            <w:tcW w:type="dxa" w:w="4873"/>
          </w:tcPr>
          <w:p>
            <w:pPr>
              <w:spacing w:after="40"/>
            </w:pPr>
            <w:r>
              <w:rPr>
                <w:b w:val="0"/>
                <w:i w:val="0"/>
                <w:sz w:val="19"/>
              </w:rPr>
              <w:t>Confirms that screening and monitoring are lawful and that candidates and staff receive the right privacy notices.</w:t>
            </w:r>
          </w:p>
        </w:tc>
      </w:tr>
      <w:tr>
        <w:tc>
          <w:tcPr>
            <w:tcW w:type="dxa" w:w="4873"/>
          </w:tcPr>
          <w:p>
            <w:pPr>
              <w:spacing w:after="40"/>
            </w:pPr>
            <w:r>
              <w:rPr>
                <w:b w:val="0"/>
                <w:i w:val="0"/>
                <w:sz w:val="19"/>
              </w:rPr>
              <w:t>Line manager</w:t>
            </w:r>
          </w:p>
        </w:tc>
        <w:tc>
          <w:tcPr>
            <w:tcW w:type="dxa" w:w="4873"/>
          </w:tcPr>
          <w:p>
            <w:pPr>
              <w:spacing w:after="40"/>
            </w:pPr>
            <w:r>
              <w:rPr>
                <w:b w:val="0"/>
                <w:i w:val="0"/>
                <w:sz w:val="19"/>
              </w:rPr>
              <w:t>Reinforces obligations, reports suspected breaches, completes the mover and leaver steps.</w:t>
            </w:r>
          </w:p>
        </w:tc>
      </w:tr>
      <w:tr>
        <w:tc>
          <w:tcPr>
            <w:tcW w:type="dxa" w:w="4873"/>
          </w:tcPr>
          <w:p>
            <w:pPr>
              <w:spacing w:after="40"/>
            </w:pPr>
            <w:r>
              <w:rPr>
                <w:b w:val="0"/>
                <w:i w:val="0"/>
                <w:sz w:val="19"/>
              </w:rPr>
              <w:t>Individual</w:t>
            </w:r>
          </w:p>
        </w:tc>
        <w:tc>
          <w:tcPr>
            <w:tcW w:type="dxa" w:w="4873"/>
          </w:tcPr>
          <w:p>
            <w:pPr>
              <w:spacing w:after="40"/>
            </w:pPr>
            <w:r>
              <w:rPr>
                <w:b w:val="0"/>
                <w:i w:val="0"/>
                <w:sz w:val="19"/>
              </w:rPr>
              <w:t>Provides accurate screening information, signs and follows the terms, returns assets and keeps confidentiality after leaving.</w:t>
            </w:r>
          </w:p>
        </w:tc>
      </w:tr>
    </w:tbl>
    <w:p/>
    <w:p>
      <w:pPr>
        <w:pStyle w:val="Heading1"/>
      </w:pPr>
      <w:r>
        <w:t>4. Procedure</w:t>
      </w:r>
    </w:p>
    <w:p>
      <w:r>
        <w:rPr>
          <w:b w:val="0"/>
          <w:i w:val="0"/>
        </w:rPr>
        <w:t xml:space="preserve">4.1 </w:t>
      </w:r>
      <w:r>
        <w:rPr>
          <w:b/>
        </w:rPr>
        <w:t>Screening level.</w:t>
      </w:r>
      <w:r>
        <w:rPr>
          <w:b w:val="0"/>
          <w:i w:val="0"/>
        </w:rPr>
        <w:t xml:space="preserve"> Before recruitment starts, the hiring manager and the Information Security Manager assign the role a screening level, recorded in the job description: Standard, or Enhanced where the role has privileged access, routine access to Restricted information or financial authority.</w:t>
      </w:r>
    </w:p>
    <w:p>
      <w:r>
        <w:rPr>
          <w:b w:val="0"/>
          <w:i w:val="0"/>
        </w:rPr>
        <w:t xml:space="preserve">4.2 </w:t>
      </w:r>
      <w:r>
        <w:rPr>
          <w:b/>
        </w:rPr>
        <w:t>Screening.</w:t>
      </w:r>
      <w:r>
        <w:rPr>
          <w:b w:val="0"/>
          <w:i w:val="0"/>
        </w:rPr>
        <w:t xml:space="preserve"> Human Resources completes screening before the start date, in proportion to the level and within what local law permits. Standard screening verifies identity, the right to work, employment history for the past [Number] years, qualifications the role relies on, and two references. Enhanced screening adds a criminal record check and, for roles with financial authority, a credit check, each only where lawful. The candidate receives the applicant privacy notice (GDPR-TPL-03) and gives any consent the law requires. Human Resources keeps the results and shares only the outcome with the hiring manager. If screening cannot finish before the start date, the person is limited to Internal information until it does, and Human Resources records the decision with the Information Security Manager's agreement.</w:t>
      </w:r>
    </w:p>
    <w:p>
      <w:r>
        <w:rPr>
          <w:b w:val="0"/>
          <w:i w:val="0"/>
        </w:rPr>
        <w:t xml:space="preserve">4.3 </w:t>
      </w:r>
      <w:r>
        <w:rPr>
          <w:b/>
        </w:rPr>
        <w:t>Terms and conditions.</w:t>
      </w:r>
      <w:r>
        <w:rPr>
          <w:b w:val="0"/>
          <w:i w:val="0"/>
        </w:rPr>
        <w:t xml:space="preserve"> Every contract of employment or engagement includes a confidentiality obligation that survives departure, the duty to follow [Organisation] policies, the acceptable use terms in GOV-POL-02, intellectual property terms, the duty to return assets, notice of monitoring as described in GDPR-TPL-02, and the consequences of a breach. The contract is signed before the first working day.</w:t>
      </w:r>
    </w:p>
    <w:p>
      <w:r>
        <w:rPr>
          <w:b w:val="0"/>
          <w:i w:val="0"/>
        </w:rPr>
        <w:t xml:space="preserve">4.4 </w:t>
      </w:r>
      <w:r>
        <w:rPr>
          <w:b/>
        </w:rPr>
        <w:t>Confidentiality agreements.</w:t>
      </w:r>
      <w:r>
        <w:rPr>
          <w:b w:val="0"/>
          <w:i w:val="0"/>
        </w:rPr>
        <w:t xml:space="preserve"> A contractor, agency worker or visitor who will see Confidential or Restricted information signs a confidentiality agreement before access. The agreement names the information covered, its duration, and the duty to return or destroy information at the end. Human Resources, or the engaging manager for a short engagement, records the signed agreement in GOV-REG-23. Agreements are reviewed when the scope of access changes and at least every [Number] years.</w:t>
      </w:r>
    </w:p>
    <w:p>
      <w:r>
        <w:rPr>
          <w:b w:val="0"/>
          <w:i w:val="0"/>
        </w:rPr>
        <w:t xml:space="preserve">4.5 </w:t>
      </w:r>
      <w:r>
        <w:rPr>
          <w:b/>
        </w:rPr>
        <w:t>Policy acknowledgement.</w:t>
      </w:r>
      <w:r>
        <w:rPr>
          <w:b w:val="0"/>
          <w:i w:val="0"/>
        </w:rPr>
        <w:t xml:space="preserve"> Each person acknowledges the information security policy (GOV-POL-03), the acceptable use policy (GOV-POL-02) and the other policies that apply to their role at induction, after a material change to any of them, and yearly with the refresher training under GOV-PRO-08. Human Resources records each acknowledgement in GOV-REG-23 and chases any that is overdue after ten working days.</w:t>
      </w:r>
    </w:p>
    <w:p>
      <w:r>
        <w:rPr>
          <w:b w:val="0"/>
          <w:i w:val="0"/>
        </w:rPr>
        <w:t xml:space="preserve">4.6 </w:t>
      </w:r>
      <w:r>
        <w:rPr>
          <w:b/>
        </w:rPr>
        <w:t>During employment.</w:t>
      </w:r>
      <w:r>
        <w:rPr>
          <w:b w:val="0"/>
          <w:i w:val="0"/>
        </w:rPr>
        <w:t xml:space="preserve"> Line managers set security duties in objectives for roles that have them, release staff for the training in GOV-PRO-08, and act on the monthly overdue training list. Human Resources tells the Information Security Manager of every change of role or line manager on the day it is agreed.</w:t>
      </w:r>
    </w:p>
    <w:p>
      <w:r>
        <w:rPr>
          <w:b w:val="0"/>
          <w:i w:val="0"/>
        </w:rPr>
        <w:t xml:space="preserve">4.7 </w:t>
      </w:r>
      <w:r>
        <w:rPr>
          <w:b/>
        </w:rPr>
        <w:t>Disciplinary process.</w:t>
      </w:r>
      <w:r>
        <w:rPr>
          <w:b w:val="0"/>
          <w:i w:val="0"/>
        </w:rPr>
        <w:t xml:space="preserve"> A suspected breach of a security or privacy policy is reported to Human Resources and the Information Security Manager. Human Resources opens a case, the Information Security Manager preserves evidence under GOV-PRO-07, and the person is told of the allegation and given a chance to respond. Access may be suspended during the investigation where the Information Security Manager judges the risk warrants it. Outcomes are graded: informal guidance, written warning, final warning, dismissal, and referral to law enforcement where a law appears broken. The outcome weighs intent, whether the person had been trained, whether it is a repeat, and the impact. Human Resources records the case and outcome and tells the person in writing. An honest, promptly reported mistake is handled as a learning event unless it is repeated.</w:t>
      </w:r>
    </w:p>
    <w:p>
      <w:r>
        <w:rPr>
          <w:b w:val="0"/>
          <w:i w:val="0"/>
        </w:rPr>
        <w:t xml:space="preserve">4.8 </w:t>
      </w:r>
      <w:r>
        <w:rPr>
          <w:b/>
        </w:rPr>
        <w:t>Change of role.</w:t>
      </w:r>
      <w:r>
        <w:rPr>
          <w:b w:val="0"/>
          <w:i w:val="0"/>
        </w:rPr>
        <w:t xml:space="preserve"> When a person moves role, Human Resources notifies the line managers and the access administrator so that the mover step in GOV-PRO-10 runs within five working days. If the new role carries a higher screening level, the additional checks are completed before the new access is granted. Confidentiality obligations from the old role continue.</w:t>
      </w:r>
    </w:p>
    <w:p>
      <w:r>
        <w:rPr>
          <w:b w:val="0"/>
          <w:i w:val="0"/>
        </w:rPr>
        <w:t xml:space="preserve">4.9 </w:t>
      </w:r>
      <w:r>
        <w:rPr>
          <w:b/>
        </w:rPr>
        <w:t>Termination.</w:t>
      </w:r>
      <w:r>
        <w:rPr>
          <w:b w:val="0"/>
          <w:i w:val="0"/>
        </w:rPr>
        <w:t xml:space="preserve"> Human Resources notifies the Information Security Manager, the line manager, the IT Manager and the access administrator of the leaving date as soon as it is known, and the line manager runs the offboarding tasks in GOV-CHK-01. At the exit meeting Human Resources reminds the person in writing of the obligations that continue after departure and obtains confirmation that all assets and information have been returned under GOV-PRO-16. For a dismissal, or a leaver with privileged access, access is removed at or before notification under GOV-PRO-10.</w:t>
      </w:r>
    </w:p>
    <w:p>
      <w:r>
        <w:rPr>
          <w:b w:val="0"/>
          <w:i w:val="0"/>
        </w:rPr>
        <w:t xml:space="preserve">4.10 </w:t>
      </w:r>
      <w:r>
        <w:rPr>
          <w:b/>
        </w:rPr>
        <w:t>Contractor equivalence.</w:t>
      </w:r>
      <w:r>
        <w:rPr>
          <w:b w:val="0"/>
          <w:i w:val="0"/>
        </w:rPr>
        <w:t xml:space="preserve"> Contractors and agency staff follow every step in this procedure. The engaging manager performs the line manager duties, and the agency or contractor's own company confirms in writing before the start date that screening equivalent to the role's level has been completed. A contractor who cannot show equivalent screening is screened by Human Resources.</w:t>
      </w:r>
    </w:p>
    <w:p>
      <w:r>
        <w:rPr>
          <w:b w:val="0"/>
          <w:i w:val="0"/>
        </w:rPr>
        <w:t xml:space="preserve">4.11 </w:t>
      </w:r>
      <w:r>
        <w:rPr>
          <w:b/>
        </w:rPr>
        <w:t>Records.</w:t>
      </w:r>
      <w:r>
        <w:rPr>
          <w:b w:val="0"/>
          <w:i w:val="0"/>
        </w:rPr>
        <w:t xml:space="preserve"> Human Resources keeps screening records, signed contracts, confidentiality agreements, acknowledgements and disciplinary records for the periods in PIMS-POL-02 and handles them under GDPR-PRO-02.</w:t>
      </w:r>
    </w:p>
    <w:p>
      <w:pPr>
        <w:pStyle w:val="Heading1"/>
      </w:pPr>
      <w:r>
        <w:t>5. Records and evidence</w:t>
      </w:r>
    </w:p>
    <w:p>
      <w:pPr>
        <w:pStyle w:val="ListBullet"/>
      </w:pPr>
      <w:r>
        <w:rPr>
          <w:b w:val="0"/>
          <w:i w:val="0"/>
        </w:rPr>
        <w:t>GOV-REG-23 Policy acknowledgement register, including confidentiality agreements.</w:t>
      </w:r>
    </w:p>
    <w:p>
      <w:pPr>
        <w:pStyle w:val="ListBullet"/>
      </w:pPr>
      <w:r>
        <w:rPr>
          <w:b w:val="0"/>
          <w:i w:val="0"/>
        </w:rPr>
        <w:t>Completed GOV-CHK-01 checklists for each starter and leaver.</w:t>
      </w:r>
    </w:p>
    <w:p>
      <w:pPr>
        <w:pStyle w:val="ListBullet"/>
      </w:pPr>
      <w:r>
        <w:rPr>
          <w:b w:val="0"/>
          <w:i w:val="0"/>
        </w:rPr>
        <w:t>Screening records and the screening level in each job description.</w:t>
      </w:r>
    </w:p>
    <w:p>
      <w:pPr>
        <w:pStyle w:val="ListBullet"/>
      </w:pPr>
      <w:r>
        <w:rPr>
          <w:b w:val="0"/>
          <w:i w:val="0"/>
        </w:rPr>
        <w:t>Signed contracts and exit confirmations.</w:t>
      </w:r>
    </w:p>
    <w:p>
      <w:pPr>
        <w:pStyle w:val="ListBullet"/>
      </w:pPr>
      <w:r>
        <w:rPr>
          <w:b w:val="0"/>
          <w:i w:val="0"/>
        </w:rPr>
        <w:t>Disciplinary case records.</w:t>
      </w:r>
    </w:p>
    <w:p>
      <w:pPr>
        <w:pStyle w:val="Heading1"/>
      </w:pPr>
      <w:r>
        <w:t>6. Exceptions</w:t>
      </w:r>
    </w:p>
    <w:p>
      <w:r>
        <w:rPr>
          <w:b w:val="0"/>
          <w:i w:val="0"/>
        </w:rPr>
        <w:t>A person may start before screening is complete only with the written agreement of the Human Resources Manager and the Information Security Manager, with access limited as in 4.2 and the exception recorded on the person's file. Screening checks that local law does not permit are omitted and the omission is recorded.</w:t>
      </w:r>
    </w:p>
    <w:p>
      <w:pPr>
        <w:pStyle w:val="Heading1"/>
      </w:pPr>
      <w:r>
        <w:t>7. Review and maintenance</w:t>
      </w:r>
    </w:p>
    <w:p>
      <w:r>
        <w:rPr>
          <w:b w:val="0"/>
          <w:i w:val="0"/>
        </w:rPr>
        <w:t>The Human Resources Manager reviews this procedure annually with the Information Security Manager, after an incident caused by an insider, after a disciplinary case that exposed a gap, and after a change in employment or data protection law. Changes follow GOV-PRO-01.</w:t>
      </w:r>
    </w:p>
    <w:p>
      <w:pPr>
        <w:pStyle w:val="Heading1"/>
      </w:pPr>
      <w:r>
        <w:t>8. Related documents</w:t>
      </w:r>
    </w:p>
    <w:p>
      <w:pPr>
        <w:pStyle w:val="ListBullet"/>
      </w:pPr>
      <w:r>
        <w:rPr>
          <w:b w:val="0"/>
          <w:i w:val="0"/>
        </w:rPr>
        <w:t>GOV-CHK-01 Onboarding and offboarding security checklist</w:t>
      </w:r>
    </w:p>
    <w:p>
      <w:pPr>
        <w:pStyle w:val="ListBullet"/>
      </w:pPr>
      <w:r>
        <w:rPr>
          <w:b w:val="0"/>
          <w:i w:val="0"/>
        </w:rPr>
        <w:t>GOV-REG-23 Policy acknowledgement register</w:t>
      </w:r>
    </w:p>
    <w:p>
      <w:pPr>
        <w:pStyle w:val="ListBullet"/>
      </w:pPr>
      <w:r>
        <w:rPr>
          <w:b w:val="0"/>
          <w:i w:val="0"/>
        </w:rPr>
        <w:t>GOV-PRO-08 Security and privacy awareness and training procedure</w:t>
      </w:r>
    </w:p>
    <w:p>
      <w:pPr>
        <w:pStyle w:val="ListBullet"/>
      </w:pPr>
      <w:r>
        <w:rPr>
          <w:b w:val="0"/>
          <w:i w:val="0"/>
        </w:rPr>
        <w:t>GOV-PRO-10 Access management procedure (joiners, movers, leavers, privileged access, reviews)</w:t>
      </w:r>
    </w:p>
    <w:p>
      <w:pPr>
        <w:pStyle w:val="ListBullet"/>
      </w:pPr>
      <w:r>
        <w:rPr>
          <w:b w:val="0"/>
          <w:i w:val="0"/>
        </w:rPr>
        <w:t>GOV-PRO-16 Asset management, classification and handling procedure</w:t>
      </w:r>
    </w:p>
    <w:p>
      <w:pPr>
        <w:pStyle w:val="ListBullet"/>
      </w:pPr>
      <w:r>
        <w:rPr>
          <w:b w:val="0"/>
          <w:i w:val="0"/>
        </w:rPr>
        <w:t>GOV-POL-02 Acceptable use policy</w:t>
      </w:r>
    </w:p>
    <w:p>
      <w:pPr>
        <w:pStyle w:val="ListBullet"/>
      </w:pPr>
      <w:r>
        <w:rPr>
          <w:b w:val="0"/>
          <w:i w:val="0"/>
        </w:rPr>
        <w:t>GOV-PRO-07 Information security incident management procedure</w:t>
      </w:r>
    </w:p>
    <w:p>
      <w:pPr>
        <w:pStyle w:val="ListBullet"/>
      </w:pPr>
      <w:r>
        <w:rPr>
          <w:b w:val="0"/>
          <w:i w:val="0"/>
        </w:rPr>
        <w:t>GDPR-TPL-02 Employee privacy notice template</w:t>
      </w:r>
    </w:p>
    <w:p>
      <w:pPr>
        <w:pStyle w:val="ListBullet"/>
      </w:pPr>
      <w:r>
        <w:rPr>
          <w:b w:val="0"/>
          <w:i w:val="0"/>
        </w:rPr>
        <w:t>GDPR-TPL-03 Job applicant privacy notice template</w:t>
      </w:r>
    </w:p>
    <w:p>
      <w:pPr>
        <w:pStyle w:val="ListBullet"/>
      </w:pPr>
      <w:r>
        <w:rPr>
          <w:b w:val="0"/>
          <w:i w:val="0"/>
        </w:rPr>
        <w:t>GDPR-PRO-02 HR data handling procedure</w:t>
      </w:r>
    </w:p>
    <w:p>
      <w:pPr>
        <w:pStyle w:val="ListBullet"/>
      </w:pPr>
      <w:r>
        <w:rPr>
          <w:b w:val="0"/>
          <w:i w:val="0"/>
        </w:rPr>
        <w:t>PIMS-POL-02 Data retention and disposal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GOV-PRO-18  |  Human resources security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