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GDPR-GDE-01</w:t>
      </w:r>
    </w:p>
    <w:p>
      <w:r>
        <w:rPr>
          <w:b/>
          <w:color w:val="0B2D4D"/>
          <w:sz w:val="44"/>
        </w:rPr>
        <w:t>Guide: a GDPR operating model for a product or service team</w:t>
      </w:r>
    </w:p>
    <w:p>
      <w:r>
        <w:rPr>
          <w:i/>
          <w:color w:val="526478"/>
        </w:rPr>
        <w:t>How GDPR works as a day-to-day operating model for a team that builds or runs a product handling personal data, told through the life of the data and the register each stage updates.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GDPR-GDE-01</w:t>
            </w:r>
          </w:p>
        </w:tc>
      </w:tr>
      <w:tr>
        <w:tc>
          <w:tcPr>
            <w:tcW w:type="dxa" w:w="2551"/>
            <w:shd w:val="clear" w:color="auto" w:fill="EEF3F8"/>
          </w:tcPr>
          <w:p>
            <w:pPr>
              <w:spacing w:after="40"/>
            </w:pPr>
            <w:r>
              <w:rPr>
                <w:b/>
                <w:sz w:val="19"/>
              </w:rPr>
              <w:t>Title</w:t>
            </w:r>
          </w:p>
        </w:tc>
        <w:tc>
          <w:tcPr>
            <w:tcW w:type="dxa" w:w="6803"/>
          </w:tcPr>
          <w:p>
            <w:pPr>
              <w:spacing w:after="40"/>
            </w:pPr>
            <w:r>
              <w:rPr>
                <w:sz w:val="19"/>
              </w:rPr>
              <w:t>Guide: a GDPR operating model for a product or service team</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5; GDPR Article 24; GDPR Article 25; GDPR Article 30; GDPR Article 32</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Accountability in four things</w:t>
      </w:r>
    </w:p>
    <w:p>
      <w:r>
        <w:rPr>
          <w:b w:val="0"/>
          <w:i w:val="0"/>
        </w:rPr>
        <w:t>GDPR is built on accountability: you must not only comply but be able to show it. In practice that means four things kept current. A map of the personal data you process. The operating processes that handle it. The evidence that those processes ran. Consistent statements to the outside world. This guide shows how each stage of the data lifecycle feeds those four things.</w:t>
      </w:r>
    </w:p>
    <w:p>
      <w:pPr>
        <w:pStyle w:val="Heading1"/>
      </w:pPr>
      <w:r>
        <w:t>2. The roles</w:t>
      </w:r>
    </w:p>
    <w:p>
      <w:r>
        <w:rPr>
          <w:b w:val="0"/>
          <w:i w:val="0"/>
        </w:rPr>
        <w:t>A product team usually needs a privacy owner who runs the programme, an approver for external statements, an engineering owner who knows where data actually lives, a support owner who handles requests, and leadership who owns the commitments. One person can hold several of these in a small team, but each must be named.</w:t>
      </w:r>
    </w:p>
    <w:p>
      <w:pPr>
        <w:pStyle w:val="Heading1"/>
      </w:pPr>
      <w:r>
        <w:t>3. The lifecycle, stage by stage</w:t>
      </w:r>
    </w:p>
    <w:p>
      <w:r>
        <w:rPr>
          <w:b w:val="0"/>
          <w:i w:val="0"/>
        </w:rPr>
        <w:t>Each stage below ends with the register it updates. The discipline is simple: when something happens to personal data, a register changes.</w:t>
      </w:r>
    </w:p>
    <w:p>
      <w:r>
        <w:rPr>
          <w:b w:val="0"/>
          <w:i w:val="0"/>
        </w:rPr>
        <w:t xml:space="preserve">3.1 </w:t>
      </w:r>
      <w:r>
        <w:rPr>
          <w:b/>
        </w:rPr>
        <w:t>Sign-up or contract.</w:t>
      </w:r>
      <w:r>
        <w:rPr>
          <w:b w:val="0"/>
          <w:i w:val="0"/>
        </w:rPr>
        <w:t xml:space="preserve"> A new customer or user brings personal data into scope. Record the processing, its purpose and its lawful basis, and make sure a privacy notice was shown. Updates: processing inventory (PIMS-REG-01), lawful basis, notice version.</w:t>
      </w:r>
    </w:p>
    <w:p>
      <w:r>
        <w:rPr>
          <w:b w:val="0"/>
          <w:i w:val="0"/>
        </w:rPr>
        <w:t xml:space="preserve">3.2 </w:t>
      </w:r>
      <w:r>
        <w:rPr>
          <w:b/>
        </w:rPr>
        <w:t>Data arrives.</w:t>
      </w:r>
      <w:r>
        <w:rPr>
          <w:b w:val="0"/>
          <w:i w:val="0"/>
        </w:rPr>
        <w:t xml:space="preserve"> Documents, uploads and integrations bring data in. Record where it flows and how it is protected in transit, and classify it. Updates: data flow map (GDPR-REG-02), asset register, classification.</w:t>
      </w:r>
    </w:p>
    <w:p>
      <w:r>
        <w:rPr>
          <w:b w:val="0"/>
          <w:i w:val="0"/>
        </w:rPr>
        <w:t xml:space="preserve">3.3 </w:t>
      </w:r>
      <w:r>
        <w:rPr>
          <w:b/>
        </w:rPr>
        <w:t>Processing, including any AI feature.</w:t>
      </w:r>
      <w:r>
        <w:rPr>
          <w:b w:val="0"/>
          <w:i w:val="0"/>
        </w:rPr>
        <w:t xml:space="preserve"> The product does something with the data. Where the processing is high risk, or an AI feature makes automated decisions, assess it. Record retention for inputs and outputs. Updates: DPIA register (PIMS-REG-08), AI inventory where relevant, retention schedule.</w:t>
      </w:r>
    </w:p>
    <w:p>
      <w:r>
        <w:rPr>
          <w:b w:val="0"/>
          <w:i w:val="0"/>
        </w:rPr>
        <w:t xml:space="preserve">3.4 </w:t>
      </w:r>
      <w:r>
        <w:rPr>
          <w:b/>
        </w:rPr>
        <w:t>Sharing and suppliers.</w:t>
      </w:r>
      <w:r>
        <w:rPr>
          <w:b w:val="0"/>
          <w:i w:val="0"/>
        </w:rPr>
        <w:t xml:space="preserve"> Data goes to a processor or a third party. Confirm the Article 28 terms are in place and that any transfer outside the region has a lawful mechanism. Updates: processor register (PIMS-REG-06), transfer register (PIMS-REG-05).</w:t>
      </w:r>
    </w:p>
    <w:p>
      <w:r>
        <w:rPr>
          <w:b w:val="0"/>
          <w:i w:val="0"/>
        </w:rPr>
        <w:t xml:space="preserve">3.5 </w:t>
      </w:r>
      <w:r>
        <w:rPr>
          <w:b/>
        </w:rPr>
        <w:t>A request from a person.</w:t>
      </w:r>
      <w:r>
        <w:rPr>
          <w:b w:val="0"/>
          <w:i w:val="0"/>
        </w:rPr>
        <w:t xml:space="preserve"> Someone asks to see, correct or delete their data. Verify identity, start the one-month clock, act, and respond. Updates: request register (PIMS-REG-02).</w:t>
      </w:r>
    </w:p>
    <w:p>
      <w:r>
        <w:rPr>
          <w:b w:val="0"/>
          <w:i w:val="0"/>
        </w:rPr>
        <w:t xml:space="preserve">3.6 </w:t>
      </w:r>
      <w:r>
        <w:rPr>
          <w:b/>
        </w:rPr>
        <w:t>An incident.</w:t>
      </w:r>
      <w:r>
        <w:rPr>
          <w:b w:val="0"/>
          <w:i w:val="0"/>
        </w:rPr>
        <w:t xml:space="preserve"> Data is lost or exposed. Contain it, assess the risk to individuals, and decide within seventy-two hours of awareness whether to notify the authority and the people affected. Record it either way. Updates: breach register (PIMS-REG-03).</w:t>
      </w:r>
    </w:p>
    <w:p>
      <w:r>
        <w:rPr>
          <w:b w:val="0"/>
          <w:i w:val="0"/>
        </w:rPr>
        <w:t xml:space="preserve">3.7 </w:t>
      </w:r>
      <w:r>
        <w:rPr>
          <w:b/>
        </w:rPr>
        <w:t>End of the relationship.</w:t>
      </w:r>
      <w:r>
        <w:rPr>
          <w:b w:val="0"/>
          <w:i w:val="0"/>
        </w:rPr>
        <w:t xml:space="preserve"> The customer leaves or the retention period ends. Delete the data across primary storage, derived data, backups and logs, not just the front-end record. Updates: retention schedule (PIMS-REG-07).</w:t>
      </w:r>
    </w:p>
    <w:p>
      <w:pPr>
        <w:pStyle w:val="Heading1"/>
      </w:pPr>
      <w:r>
        <w:t>4. The cadence</w:t>
      </w:r>
    </w:p>
    <w:p>
      <w:r>
        <w:rPr>
          <w:b w:val="0"/>
          <w:i w:val="0"/>
        </w:rPr>
        <w:t>Weekly, work through requests, incidents and supplier changes, and close a few outstanding items. Monthly, export the evidence that controls ran and reconcile the retention and vendor registers. Quarterly, refresh assessments and run an exercise. Annually, review the whole programme. The no-assumption rule holds throughout: every unknown becomes a line with an owner and a due date, and every gap becomes a corrective action.</w:t>
      </w:r>
    </w:p>
    <w:p>
      <w:pPr>
        <w:pStyle w:val="Heading1"/>
      </w:pPr>
      <w:r>
        <w:t>5. Safe statements</w:t>
      </w:r>
    </w:p>
    <w:p>
      <w:r>
        <w:rPr>
          <w:b w:val="0"/>
          <w:i w:val="0"/>
        </w:rPr>
        <w:t>Say what is true and nothing more. You process personal data under recorded lawful bases. You keep a record of processing. You have the processes and evidence to meet your obligations. Avoid "fully compliant" and "GDPR certified"; neither is a thing you can truthfully claim, and both invite a question you do not want.</w:t>
      </w:r>
    </w:p>
    <w:p>
      <w:pPr>
        <w:pStyle w:val="Heading1"/>
      </w:pPr>
      <w:r>
        <w:t>6. Related documents</w:t>
      </w:r>
    </w:p>
    <w:p>
      <w:pPr>
        <w:pStyle w:val="ListBullet"/>
      </w:pPr>
      <w:r>
        <w:rPr>
          <w:b w:val="0"/>
          <w:i w:val="0"/>
        </w:rPr>
        <w:t>GDPR-POL-01 Data protection policy</w:t>
      </w:r>
    </w:p>
    <w:p>
      <w:pPr>
        <w:pStyle w:val="ListBullet"/>
      </w:pPr>
      <w:r>
        <w:rPr>
          <w:b w:val="0"/>
          <w:i w:val="0"/>
        </w:rPr>
        <w:t>GDPR-PRO-01 Data mapping and records of processing</w:t>
      </w:r>
    </w:p>
    <w:p>
      <w:pPr>
        <w:pStyle w:val="ListBullet"/>
      </w:pPr>
      <w:r>
        <w:rPr>
          <w:b w:val="0"/>
          <w:i w:val="0"/>
        </w:rPr>
        <w:t>PIMS-REG-01 Personal data processing inventory</w:t>
      </w:r>
    </w:p>
    <w:p>
      <w:pPr>
        <w:pStyle w:val="ListBullet"/>
      </w:pPr>
      <w:r>
        <w:rPr>
          <w:b w:val="0"/>
          <w:i w:val="0"/>
        </w:rPr>
        <w:t>GDPR-REG-01 GDPR gap assessment</w:t>
      </w:r>
    </w:p>
    <w:p>
      <w:pPr>
        <w:pStyle w:val="ListBullet"/>
      </w:pPr>
      <w:r>
        <w:rPr>
          <w:b w:val="0"/>
          <w:i w:val="0"/>
        </w:rPr>
        <w:t>PB-04 GDPR operations in ten steps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GDPR-GDE-01  |  Guide: a GDPR operating model for a product or service team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