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GDPR-POL-01</w:t>
      </w:r>
    </w:p>
    <w:p>
      <w:r>
        <w:rPr>
          <w:b/>
          <w:color w:val="0B2D4D"/>
          <w:sz w:val="44"/>
        </w:rPr>
        <w:t>Data protection policy</w:t>
      </w:r>
    </w:p>
    <w:p>
      <w:r>
        <w:rPr>
          <w:i/>
          <w:color w:val="526478"/>
        </w:rPr>
        <w:t>The organisation-wide rules for handling personal data lawfully, the responsibilities that make the rules work, and the records that show they are followed.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GDPR-POL-01</w:t>
            </w:r>
          </w:p>
        </w:tc>
      </w:tr>
      <w:tr>
        <w:tc>
          <w:tcPr>
            <w:tcW w:type="dxa" w:w="2551"/>
            <w:shd w:val="clear" w:color="auto" w:fill="EEF3F8"/>
          </w:tcPr>
          <w:p>
            <w:pPr>
              <w:spacing w:after="40"/>
            </w:pPr>
            <w:r>
              <w:rPr>
                <w:b/>
                <w:sz w:val="19"/>
              </w:rPr>
              <w:t>Title</w:t>
            </w:r>
          </w:p>
        </w:tc>
        <w:tc>
          <w:tcPr>
            <w:tcW w:type="dxa" w:w="6803"/>
          </w:tcPr>
          <w:p>
            <w:pPr>
              <w:spacing w:after="40"/>
            </w:pPr>
            <w:r>
              <w:rPr>
                <w:sz w:val="19"/>
              </w:rPr>
              <w:t>Data protection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5; GDPR Article 24; GDPR Article 32; ISO/IEC 27701 clause 5.2; ISO/IEC 27001:2022 Annex A 5.34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states how [Organisation] handles personal data about customers, users, staff, applicants, suppliers and anyone else whose data it holds, so that every person who touches personal data knows the rules and so that the organisation can demonstrate that it meets GDPR Article 5 and Article 24.</w:t>
      </w:r>
    </w:p>
    <w:p>
      <w:pPr>
        <w:pStyle w:val="Heading1"/>
      </w:pPr>
      <w:r>
        <w:t>2. Scope</w:t>
      </w:r>
    </w:p>
    <w:p>
      <w:r>
        <w:rPr>
          <w:b w:val="0"/>
          <w:i w:val="0"/>
        </w:rPr>
        <w:t>It applies to every employee, contractor and temporary worker, to every system, service and paper record that holds personal data, and to every processing activity in which [Organisation] acts as a controller, a joint controller or a processor. Where [Organisation] acts as a processor, the customer's documented instructions take precedence over any statement in section 4 that would conflict with them, and PIMS-PRO-01 records which role applies.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this policy, provides the resources it needs, and is accountable for the organisation's compliance.</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the policy, advises on every statement below, keeps PIMS-REG-01, runs the rights and breach processes, and reports to the steering committee under GOV-POL-01.</w:t>
            </w:r>
          </w:p>
        </w:tc>
      </w:tr>
      <w:tr>
        <w:tc>
          <w:tcPr>
            <w:tcW w:type="dxa" w:w="4873"/>
          </w:tcPr>
          <w:p>
            <w:pPr>
              <w:spacing w:after="40"/>
            </w:pPr>
            <w:r>
              <w:rPr>
                <w:b w:val="0"/>
                <w:i w:val="0"/>
                <w:sz w:val="19"/>
              </w:rPr>
              <w:t>Data Protection Officer</w:t>
            </w:r>
          </w:p>
        </w:tc>
        <w:tc>
          <w:tcPr>
            <w:tcW w:type="dxa" w:w="4873"/>
          </w:tcPr>
          <w:p>
            <w:pPr>
              <w:spacing w:after="40"/>
            </w:pPr>
            <w:r>
              <w:rPr>
                <w:b w:val="0"/>
                <w:i w:val="0"/>
                <w:sz w:val="19"/>
              </w:rPr>
              <w:t>Where one is designated under GDPR Article 37, performs the independent tasks in Article 39 and is the contact point for the supervisory authority. The role may be held by the Privacy Officer only where independence can be shown.</w:t>
            </w:r>
          </w:p>
        </w:tc>
      </w:tr>
      <w:tr>
        <w:tc>
          <w:tcPr>
            <w:tcW w:type="dxa" w:w="4873"/>
          </w:tcPr>
          <w:p>
            <w:pPr>
              <w:spacing w:after="40"/>
            </w:pPr>
            <w:r>
              <w:rPr>
                <w:b w:val="0"/>
                <w:i w:val="0"/>
                <w:sz w:val="19"/>
              </w:rPr>
              <w:t>System Owner</w:t>
            </w:r>
          </w:p>
        </w:tc>
        <w:tc>
          <w:tcPr>
            <w:tcW w:type="dxa" w:w="4873"/>
          </w:tcPr>
          <w:p>
            <w:pPr>
              <w:spacing w:after="40"/>
            </w:pPr>
            <w:r>
              <w:rPr>
                <w:b w:val="0"/>
                <w:i w:val="0"/>
                <w:sz w:val="19"/>
              </w:rPr>
              <w:t>Applies the statements to the systems they own, supports data subject requests and deletion, and keeps GDPR-REG-02 current for their flows.</w:t>
            </w:r>
          </w:p>
        </w:tc>
      </w:tr>
      <w:tr>
        <w:tc>
          <w:tcPr>
            <w:tcW w:type="dxa" w:w="4873"/>
          </w:tcPr>
          <w:p>
            <w:pPr>
              <w:spacing w:after="40"/>
            </w:pPr>
            <w:r>
              <w:rPr>
                <w:b w:val="0"/>
                <w:i w:val="0"/>
                <w:sz w:val="19"/>
              </w:rPr>
              <w:t>Head of each function</w:t>
            </w:r>
          </w:p>
        </w:tc>
        <w:tc>
          <w:tcPr>
            <w:tcW w:type="dxa" w:w="4873"/>
          </w:tcPr>
          <w:p>
            <w:pPr>
              <w:spacing w:after="40"/>
            </w:pPr>
            <w:r>
              <w:rPr>
                <w:b w:val="0"/>
                <w:i w:val="0"/>
                <w:sz w:val="19"/>
              </w:rPr>
              <w:t>Confirms once a year that the processing in their function is recorded in PIMS-REG-01 and has a lawful basis.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Operates the technical and organisational measures required by statement 4.9 under GOV-POL-03.</w:t>
            </w:r>
          </w:p>
        </w:tc>
      </w:tr>
      <w:tr>
        <w:tc>
          <w:tcPr>
            <w:tcW w:type="dxa" w:w="4873"/>
          </w:tcPr>
          <w:p>
            <w:pPr>
              <w:spacing w:after="40"/>
            </w:pPr>
            <w:r>
              <w:rPr>
                <w:b w:val="0"/>
                <w:i w:val="0"/>
                <w:sz w:val="19"/>
              </w:rPr>
              <w:t>All staff</w:t>
            </w:r>
          </w:p>
        </w:tc>
        <w:tc>
          <w:tcPr>
            <w:tcW w:type="dxa" w:w="4873"/>
          </w:tcPr>
          <w:p>
            <w:pPr>
              <w:spacing w:after="40"/>
            </w:pPr>
            <w:r>
              <w:rPr>
                <w:b w:val="0"/>
                <w:i w:val="0"/>
                <w:sz w:val="19"/>
              </w:rPr>
              <w:t>Follow this policy, complete the training in statement 4.12, and report concerns and suspected breaches at once.</w:t>
            </w:r>
          </w:p>
        </w:tc>
      </w:tr>
    </w:tbl>
    <w:p/>
    <w:p>
      <w:pPr>
        <w:pStyle w:val="Heading1"/>
      </w:pPr>
      <w:r>
        <w:t>4. Policy statements</w:t>
      </w:r>
    </w:p>
    <w:p>
      <w:r>
        <w:rPr>
          <w:b w:val="0"/>
          <w:i w:val="0"/>
        </w:rPr>
        <w:t xml:space="preserve">4.1 </w:t>
      </w:r>
      <w:r>
        <w:rPr>
          <w:b/>
        </w:rPr>
        <w:t>Lawfulness, fairness and transparency.</w:t>
      </w:r>
      <w:r>
        <w:rPr>
          <w:b w:val="0"/>
          <w:i w:val="0"/>
        </w:rPr>
        <w:t xml:space="preserve"> Every processing activity has one lawful basis recorded in PIMS-REG-01 before it starts, and the people concerned are told about it through a notice built from GDPR-TPL-01, GDPR-TPL-02 or GDPR-TPL-03 at the point of collection, or within one month where the data was not collected from them.</w:t>
      </w:r>
    </w:p>
    <w:p>
      <w:r>
        <w:rPr>
          <w:b w:val="0"/>
          <w:i w:val="0"/>
        </w:rPr>
        <w:t xml:space="preserve">4.2 </w:t>
      </w:r>
      <w:r>
        <w:rPr>
          <w:b/>
        </w:rPr>
        <w:t>Purpose limitation.</w:t>
      </w:r>
      <w:r>
        <w:rPr>
          <w:b w:val="0"/>
          <w:i w:val="0"/>
        </w:rPr>
        <w:t xml:space="preserve"> Personal data is used only for the purposes stated in the notice and the inventory. A new purpose needs the Privacy Officer's written compatibility assessment, and, where the assessment fails, a new lawful basis and an updated notice before the new use begins.</w:t>
      </w:r>
    </w:p>
    <w:p>
      <w:r>
        <w:rPr>
          <w:b w:val="0"/>
          <w:i w:val="0"/>
        </w:rPr>
        <w:t xml:space="preserve">4.3 </w:t>
      </w:r>
      <w:r>
        <w:rPr>
          <w:b/>
        </w:rPr>
        <w:t>Data minimisation.</w:t>
      </w:r>
      <w:r>
        <w:rPr>
          <w:b w:val="0"/>
          <w:i w:val="0"/>
        </w:rPr>
        <w:t xml:space="preserve"> Teams collect only the data fields the recorded purpose needs. Every new form, field, integration and feature is checked against this statement under PIMS-PRO-06 before release.</w:t>
      </w:r>
    </w:p>
    <w:p>
      <w:r>
        <w:rPr>
          <w:b w:val="0"/>
          <w:i w:val="0"/>
        </w:rPr>
        <w:t xml:space="preserve">4.4 </w:t>
      </w:r>
      <w:r>
        <w:rPr>
          <w:b/>
        </w:rPr>
        <w:t>Accuracy.</w:t>
      </w:r>
      <w:r>
        <w:rPr>
          <w:b w:val="0"/>
          <w:i w:val="0"/>
        </w:rPr>
        <w:t xml:space="preserve"> Owners of systems that hold personal data provide a way for the people concerned, or staff acting for them, to correct it, and correct or delete inaccurate data within one month of learning that it is wrong.</w:t>
      </w:r>
    </w:p>
    <w:p>
      <w:r>
        <w:rPr>
          <w:b w:val="0"/>
          <w:i w:val="0"/>
        </w:rPr>
        <w:t xml:space="preserve">4.5 </w:t>
      </w:r>
      <w:r>
        <w:rPr>
          <w:b/>
        </w:rPr>
        <w:t>Storage limitation.</w:t>
      </w:r>
      <w:r>
        <w:rPr>
          <w:b w:val="0"/>
          <w:i w:val="0"/>
        </w:rPr>
        <w:t xml:space="preserve"> Every category of personal data has a retention period and a trigger recorded in PIMS-REG-07 under PIMS-POL-02. Data past its period is deleted or anonymised across primary storage, derived copies, backups and logs within the windows that schedule sets, and the deletion is recorded.</w:t>
      </w:r>
    </w:p>
    <w:p>
      <w:r>
        <w:rPr>
          <w:b w:val="0"/>
          <w:i w:val="0"/>
        </w:rPr>
        <w:t xml:space="preserve">4.6 </w:t>
      </w:r>
      <w:r>
        <w:rPr>
          <w:b/>
        </w:rPr>
        <w:t>Special category and criminal offence data.</w:t>
      </w:r>
      <w:r>
        <w:rPr>
          <w:b w:val="0"/>
          <w:i w:val="0"/>
        </w:rPr>
        <w:t xml:space="preserve"> Data about health, ethnic origin, political opinions, religious or philosophical beliefs, trade union membership, genetics, biometrics, sex life or sexual orientation, and data about criminal convictions, is processed only where the Privacy Officer has recorded a condition under GDPR Article 9 or Article 10 in PIMS-REG-01, with access limited to named roles.</w:t>
      </w:r>
    </w:p>
    <w:p>
      <w:r>
        <w:rPr>
          <w:b w:val="0"/>
          <w:i w:val="0"/>
        </w:rPr>
        <w:t xml:space="preserve">4.7 </w:t>
      </w:r>
      <w:r>
        <w:rPr>
          <w:b/>
        </w:rPr>
        <w:t>Consent.</w:t>
      </w:r>
      <w:r>
        <w:rPr>
          <w:b w:val="0"/>
          <w:i w:val="0"/>
        </w:rPr>
        <w:t xml:space="preserve"> Where consent is the basis, it is collected with a form built from GDPR-TPL-06, recorded in PIMS-REG-04, and withdrawable as easily as it was given. Consent is never bundled with terms of service and is never a condition of a service that does not need the data. Consent from a child is handled under PIMS-PRO-05.</w:t>
      </w:r>
    </w:p>
    <w:p>
      <w:r>
        <w:rPr>
          <w:b w:val="0"/>
          <w:i w:val="0"/>
        </w:rPr>
        <w:t xml:space="preserve">4.8 </w:t>
      </w:r>
      <w:r>
        <w:rPr>
          <w:b/>
        </w:rPr>
        <w:t>Legitimate interests.</w:t>
      </w:r>
      <w:r>
        <w:rPr>
          <w:b w:val="0"/>
          <w:i w:val="0"/>
        </w:rPr>
        <w:t xml:space="preserve"> Where legitimate interests is the basis, a completed GDPR-TPL-07 assessment is approved by the Privacy Officer and recorded in GDPR-REG-03 before processing starts, and the people concerned can object.</w:t>
      </w:r>
    </w:p>
    <w:p>
      <w:r>
        <w:rPr>
          <w:b w:val="0"/>
          <w:i w:val="0"/>
        </w:rPr>
        <w:t xml:space="preserve">4.9 </w:t>
      </w:r>
      <w:r>
        <w:rPr>
          <w:b/>
        </w:rPr>
        <w:t>Security.</w:t>
      </w:r>
      <w:r>
        <w:rPr>
          <w:b w:val="0"/>
          <w:i w:val="0"/>
        </w:rPr>
        <w:t xml:space="preserve"> Personal data is protected by the controls in GOV-POL-03 and the procedures it mandates, proportionate to the risk recorded in GOV-REG-05 and, where a data protection impact assessment exists, in PIMS-REG-08. Restricted personal data is encrypted at rest and in transit under GOV-PRO-20.</w:t>
      </w:r>
    </w:p>
    <w:p>
      <w:r>
        <w:rPr>
          <w:b w:val="0"/>
          <w:i w:val="0"/>
        </w:rPr>
        <w:t xml:space="preserve">4.10 </w:t>
      </w:r>
      <w:r>
        <w:rPr>
          <w:b/>
        </w:rPr>
        <w:t>Data subject rights.</w:t>
      </w:r>
      <w:r>
        <w:rPr>
          <w:b w:val="0"/>
          <w:i w:val="0"/>
        </w:rPr>
        <w:t xml:space="preserve"> Every request to exercise a right under GDPR Articles 15 to 22 is logged in PIMS-REG-02 on the day it arrives and answered under PIMS-PRO-03 within one month, using the letters in GDPR-TPL-05. No request is refused without the Privacy Officer's written reasons.</w:t>
      </w:r>
    </w:p>
    <w:p>
      <w:r>
        <w:rPr>
          <w:b w:val="0"/>
          <w:i w:val="0"/>
        </w:rPr>
        <w:t xml:space="preserve">4.11 </w:t>
      </w:r>
      <w:r>
        <w:rPr>
          <w:b/>
        </w:rPr>
        <w:t>Breaches.</w:t>
      </w:r>
      <w:r>
        <w:rPr>
          <w:b w:val="0"/>
          <w:i w:val="0"/>
        </w:rPr>
        <w:t xml:space="preserve"> Anyone who suspects that personal data has been lost, altered, disclosed or made unavailable reports it immediately through the channel in GOV-PRO-07. The Privacy Officer assesses the breach under PIMS-PRO-04, notifies the supervisory authority within 72 hours of awareness where the risk test is met, using GDPR-TPL-10, and records every breach in PIMS-REG-03 whether or not it is notified.</w:t>
      </w:r>
    </w:p>
    <w:p>
      <w:r>
        <w:rPr>
          <w:b w:val="0"/>
          <w:i w:val="0"/>
        </w:rPr>
        <w:t xml:space="preserve">4.12 </w:t>
      </w:r>
      <w:r>
        <w:rPr>
          <w:b/>
        </w:rPr>
        <w:t>Training.</w:t>
      </w:r>
      <w:r>
        <w:rPr>
          <w:b w:val="0"/>
          <w:i w:val="0"/>
        </w:rPr>
        <w:t xml:space="preserve"> Every person completes privacy training at induction and annually, and people who handle requests, breaches, HR data or special category data complete role-based training, all recorded in GDPR-REG-05 under GOV-PRO-08.</w:t>
      </w:r>
    </w:p>
    <w:p>
      <w:r>
        <w:rPr>
          <w:b w:val="0"/>
          <w:i w:val="0"/>
        </w:rPr>
        <w:t xml:space="preserve">4.13 </w:t>
      </w:r>
      <w:r>
        <w:rPr>
          <w:b/>
        </w:rPr>
        <w:t>Processors and sharing.</w:t>
      </w:r>
      <w:r>
        <w:rPr>
          <w:b w:val="0"/>
          <w:i w:val="0"/>
        </w:rPr>
        <w:t xml:space="preserve"> Personal data is shared with a processor only under a contract that meets GDPR Article 28, built from PIMS-TPL-02 and recorded in PIMS-REG-06, after an assessment using GDPR-TPL-09 under GOV-PRO-06. Sharing with another controller is recorded in PIMS-REG-01 with its basis.</w:t>
      </w:r>
    </w:p>
    <w:p>
      <w:r>
        <w:rPr>
          <w:b w:val="0"/>
          <w:i w:val="0"/>
        </w:rPr>
        <w:t xml:space="preserve">4.14 </w:t>
      </w:r>
      <w:r>
        <w:rPr>
          <w:b/>
        </w:rPr>
        <w:t>International transfers.</w:t>
      </w:r>
      <w:r>
        <w:rPr>
          <w:b w:val="0"/>
          <w:i w:val="0"/>
        </w:rPr>
        <w:t xml:space="preserve"> Personal data leaves the region only under a mechanism in PIMS-POL-03, recorded in PIMS-REG-05, and, for transfers relying on contractual safeguards, after a transfer impact assessment using GDPR-TPL-08.</w:t>
      </w:r>
    </w:p>
    <w:p>
      <w:r>
        <w:rPr>
          <w:b w:val="0"/>
          <w:i w:val="0"/>
        </w:rPr>
        <w:t xml:space="preserve">4.15 </w:t>
      </w:r>
      <w:r>
        <w:rPr>
          <w:b/>
        </w:rPr>
        <w:t>Privacy by design and impact assessment.</w:t>
      </w:r>
      <w:r>
        <w:rPr>
          <w:b w:val="0"/>
          <w:i w:val="0"/>
        </w:rPr>
        <w:t xml:space="preserve"> Every project, feature and procurement that processes personal data is screened under PIMS-PRO-02 and, where a trigger applies, a data protection impact assessment using PIMS-TPL-01 is completed and approved before go-live, as checked at the gate in PB-07.</w:t>
      </w:r>
    </w:p>
    <w:p>
      <w:r>
        <w:rPr>
          <w:b w:val="0"/>
          <w:i w:val="0"/>
        </w:rPr>
        <w:t xml:space="preserve">4.16 </w:t>
      </w:r>
      <w:r>
        <w:rPr>
          <w:b/>
        </w:rPr>
        <w:t>Records.</w:t>
      </w:r>
      <w:r>
        <w:rPr>
          <w:b w:val="0"/>
          <w:i w:val="0"/>
        </w:rPr>
        <w:t xml:space="preserve"> The Privacy Officer keeps PIMS-REG-01 as the record of processing activities required by GDPR Article 30, reviewed under GDPR-PRO-01 at least quarterly.</w:t>
      </w:r>
    </w:p>
    <w:p>
      <w:r>
        <w:rPr>
          <w:b w:val="0"/>
          <w:i w:val="0"/>
        </w:rPr>
        <w:t xml:space="preserve">4.17 </w:t>
      </w:r>
      <w:r>
        <w:rPr>
          <w:b/>
        </w:rPr>
        <w:t>Consequences.</w:t>
      </w:r>
      <w:r>
        <w:rPr>
          <w:b w:val="0"/>
          <w:i w:val="0"/>
        </w:rPr>
        <w:t xml:space="preserve"> Breach of this policy is handled under the disciplinary process in GOV-PRO-18. Deliberate misuse of personal data may be gross misconduct and may be reported to the authorities.</w:t>
      </w:r>
    </w:p>
    <w:p>
      <w:pPr>
        <w:pStyle w:val="Heading1"/>
      </w:pPr>
      <w:r>
        <w:t>5. Records and evidence</w:t>
      </w:r>
    </w:p>
    <w:p>
      <w:pPr>
        <w:pStyle w:val="ListBullet"/>
      </w:pPr>
      <w:r>
        <w:rPr>
          <w:b w:val="0"/>
          <w:i w:val="0"/>
        </w:rPr>
        <w:t>PIMS-REG-01 Personal data processing inventory, with lawful bases and special category conditions.</w:t>
      </w:r>
    </w:p>
    <w:p>
      <w:pPr>
        <w:pStyle w:val="ListBullet"/>
      </w:pPr>
      <w:r>
        <w:rPr>
          <w:b w:val="0"/>
          <w:i w:val="0"/>
        </w:rPr>
        <w:t>PIMS-REG-02 Data subject request register, PIMS-REG-03 Personal data breach register, PIMS-REG-04 Consent record register.</w:t>
      </w:r>
    </w:p>
    <w:p>
      <w:pPr>
        <w:pStyle w:val="ListBullet"/>
      </w:pPr>
      <w:r>
        <w:rPr>
          <w:b w:val="0"/>
          <w:i w:val="0"/>
        </w:rPr>
        <w:t>GDPR-REG-03 Legitimate interests assessment register, PIMS-REG-05 International transfer register, PIMS-REG-06 Processor and sub-processor register.</w:t>
      </w:r>
    </w:p>
    <w:p>
      <w:pPr>
        <w:pStyle w:val="ListBullet"/>
      </w:pPr>
      <w:r>
        <w:rPr>
          <w:b w:val="0"/>
          <w:i w:val="0"/>
        </w:rPr>
        <w:t>PIMS-REG-07 Retention schedule and the deletion records it requires.</w:t>
      </w:r>
    </w:p>
    <w:p>
      <w:pPr>
        <w:pStyle w:val="ListBullet"/>
      </w:pPr>
      <w:r>
        <w:rPr>
          <w:b w:val="0"/>
          <w:i w:val="0"/>
        </w:rPr>
        <w:t>PIMS-REG-08 DPIA register.</w:t>
      </w:r>
    </w:p>
    <w:p>
      <w:pPr>
        <w:pStyle w:val="ListBullet"/>
      </w:pPr>
      <w:r>
        <w:rPr>
          <w:b w:val="0"/>
          <w:i w:val="0"/>
        </w:rPr>
        <w:t>GDPR-REG-05 Privacy training register and GOV-REG-23 Policy acknowledgement register.</w:t>
      </w:r>
    </w:p>
    <w:p>
      <w:pPr>
        <w:pStyle w:val="ListBullet"/>
      </w:pPr>
      <w:r>
        <w:rPr>
          <w:b w:val="0"/>
          <w:i w:val="0"/>
        </w:rPr>
        <w:t>Minutes of the steering committee showing the Privacy Officer's reports.</w:t>
      </w:r>
    </w:p>
    <w:p>
      <w:pPr>
        <w:pStyle w:val="Heading1"/>
      </w:pPr>
      <w:r>
        <w:t>6. Exceptions</w:t>
      </w:r>
    </w:p>
    <w:p>
      <w:r>
        <w:rPr>
          <w:b w:val="0"/>
          <w:i w:val="0"/>
        </w:rPr>
        <w:t>A legal obligation, a court order or a request from a competent authority may require processing outside a statement above. The Privacy Officer records the obligation, the data disclosed and the date in PIMS-REG-01 and informs the Chief Executive Officer. No other exception applies; a team that cannot meet a statement raises it under GOV-PRO-24.</w:t>
      </w:r>
    </w:p>
    <w:p>
      <w:pPr>
        <w:pStyle w:val="Heading1"/>
      </w:pPr>
      <w:r>
        <w:t>7. Review and maintenance</w:t>
      </w:r>
    </w:p>
    <w:p>
      <w:r>
        <w:rPr>
          <w:b w:val="0"/>
          <w:i w:val="0"/>
        </w:rPr>
        <w:t>The Privacy Officer reviews this policy annually, after a supervisory authority decision or guidance that affects the organisation, after a reportable breach, and after a change in the services offered or the regions served. Changes follow GOV-PRO-01 and are communicated to all staff with a new acknowledgement in GOV-REG-23.</w:t>
      </w:r>
    </w:p>
    <w:p>
      <w:pPr>
        <w:pStyle w:val="Heading1"/>
      </w:pPr>
      <w:r>
        <w:t>8. Related documents</w:t>
      </w:r>
    </w:p>
    <w:p>
      <w:pPr>
        <w:pStyle w:val="ListBullet"/>
      </w:pPr>
      <w:r>
        <w:rPr>
          <w:b w:val="0"/>
          <w:i w:val="0"/>
        </w:rPr>
        <w:t>PIMS-POL-01 Privacy information management policy</w:t>
      </w:r>
    </w:p>
    <w:p>
      <w:pPr>
        <w:pStyle w:val="ListBullet"/>
      </w:pPr>
      <w:r>
        <w:rPr>
          <w:b w:val="0"/>
          <w:i w:val="0"/>
        </w:rPr>
        <w:t>PIMS-POL-02 Data retention and disposal policy</w:t>
      </w:r>
    </w:p>
    <w:p>
      <w:pPr>
        <w:pStyle w:val="ListBullet"/>
      </w:pPr>
      <w:r>
        <w:rPr>
          <w:b w:val="0"/>
          <w:i w:val="0"/>
        </w:rPr>
        <w:t>PIMS-POL-03 International transfer policy</w:t>
      </w:r>
    </w:p>
    <w:p>
      <w:pPr>
        <w:pStyle w:val="ListBullet"/>
      </w:pPr>
      <w:r>
        <w:rPr>
          <w:b w:val="0"/>
          <w:i w:val="0"/>
        </w:rPr>
        <w:t>PIMS-PRO-01 Determining controller and processor roles</w:t>
      </w:r>
    </w:p>
    <w:p>
      <w:pPr>
        <w:pStyle w:val="ListBullet"/>
      </w:pPr>
      <w:r>
        <w:rPr>
          <w:b w:val="0"/>
          <w:i w:val="0"/>
        </w:rPr>
        <w:t>PIMS-PRO-02 Privacy risk and data protection impact assessment procedure</w:t>
      </w:r>
    </w:p>
    <w:p>
      <w:pPr>
        <w:pStyle w:val="ListBullet"/>
      </w:pPr>
      <w:r>
        <w:rPr>
          <w:b w:val="0"/>
          <w:i w:val="0"/>
        </w:rPr>
        <w:t>PIMS-PRO-03 Data subject rights handling procedure</w:t>
      </w:r>
    </w:p>
    <w:p>
      <w:pPr>
        <w:pStyle w:val="ListBullet"/>
      </w:pPr>
      <w:r>
        <w:rPr>
          <w:b w:val="0"/>
          <w:i w:val="0"/>
        </w:rPr>
        <w:t>PIMS-PRO-04 Personal data breach assessment and notification procedure</w:t>
      </w:r>
    </w:p>
    <w:p>
      <w:pPr>
        <w:pStyle w:val="ListBullet"/>
      </w:pPr>
      <w:r>
        <w:rPr>
          <w:b w:val="0"/>
          <w:i w:val="0"/>
        </w:rPr>
        <w:t>PIMS-PRO-05 Consent and privacy notice management procedure</w:t>
      </w:r>
    </w:p>
    <w:p>
      <w:pPr>
        <w:pStyle w:val="ListBullet"/>
      </w:pPr>
      <w:r>
        <w:rPr>
          <w:b w:val="0"/>
          <w:i w:val="0"/>
        </w:rPr>
        <w:t>PIMS-PRO-06 Privacy by design and by default procedure</w:t>
      </w:r>
    </w:p>
    <w:p>
      <w:pPr>
        <w:pStyle w:val="ListBullet"/>
      </w:pPr>
      <w:r>
        <w:rPr>
          <w:b w:val="0"/>
          <w:i w:val="0"/>
        </w:rPr>
        <w:t>GDPR-PRO-01 Data mapping and records of processing procedure</w:t>
      </w:r>
    </w:p>
    <w:p>
      <w:pPr>
        <w:pStyle w:val="ListBullet"/>
      </w:pPr>
      <w:r>
        <w:rPr>
          <w:b w:val="0"/>
          <w:i w:val="0"/>
        </w:rPr>
        <w:t>GDPR-PRO-02 HR data handling procedure</w:t>
      </w:r>
    </w:p>
    <w:p>
      <w:pPr>
        <w:pStyle w:val="ListBullet"/>
      </w:pPr>
      <w:r>
        <w:rPr>
          <w:b w:val="0"/>
          <w:i w:val="0"/>
        </w:rPr>
        <w:t>GDPR-GDE-01 Guide: a GDPR operating model for a product or service team</w:t>
      </w:r>
    </w:p>
    <w:p>
      <w:pPr>
        <w:pStyle w:val="ListBullet"/>
      </w:pPr>
      <w:r>
        <w:rPr>
          <w:b w:val="0"/>
          <w:i w:val="0"/>
        </w:rPr>
        <w:t>GOV-POL-03 Information security policy</w:t>
      </w:r>
    </w:p>
    <w:p>
      <w:pPr>
        <w:pStyle w:val="ListBullet"/>
      </w:pPr>
      <w:r>
        <w:rPr>
          <w:b w:val="0"/>
          <w:i w:val="0"/>
        </w:rPr>
        <w:t>GOV-PRO-06 Supplier and third party security procedure</w:t>
      </w:r>
    </w:p>
    <w:p>
      <w:pPr>
        <w:pStyle w:val="ListBullet"/>
      </w:pPr>
      <w:r>
        <w:rPr>
          <w:b w:val="0"/>
          <w:i w:val="0"/>
        </w:rPr>
        <w:t>GOV-PRO-07 Information security incident management procedure</w:t>
      </w:r>
    </w:p>
    <w:p>
      <w:pPr>
        <w:pStyle w:val="ListBullet"/>
      </w:pPr>
      <w:r>
        <w:rPr>
          <w:b w:val="0"/>
          <w:i w:val="0"/>
        </w:rPr>
        <w:t>GOV-PRO-08 Security and privacy awareness and training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GDPR-POL-01  |  Data protection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