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PIMS-POL-01</w:t>
      </w:r>
    </w:p>
    <w:p>
      <w:r>
        <w:rPr>
          <w:b/>
          <w:color w:val="0B2D4D"/>
          <w:sz w:val="44"/>
        </w:rPr>
        <w:t>Privacy information management policy</w:t>
      </w:r>
    </w:p>
    <w:p>
      <w:r>
        <w:rPr>
          <w:i/>
          <w:color w:val="526478"/>
        </w:rPr>
        <w:t>The top-level commitment that extends the information security management system to the protection of personal data, the principles every processing activity must satisfy, and the roles that make them happen.</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PIMS-POL-01</w:t>
            </w:r>
          </w:p>
        </w:tc>
      </w:tr>
      <w:tr>
        <w:tc>
          <w:tcPr>
            <w:tcW w:type="dxa" w:w="2551"/>
            <w:shd w:val="clear" w:color="auto" w:fill="EEF3F8"/>
          </w:tcPr>
          <w:p>
            <w:pPr>
              <w:spacing w:after="40"/>
            </w:pPr>
            <w:r>
              <w:rPr>
                <w:b/>
                <w:sz w:val="19"/>
              </w:rPr>
              <w:t>Title</w:t>
            </w:r>
          </w:p>
        </w:tc>
        <w:tc>
          <w:tcPr>
            <w:tcW w:type="dxa" w:w="6803"/>
          </w:tcPr>
          <w:p>
            <w:pPr>
              <w:spacing w:after="40"/>
            </w:pPr>
            <w:r>
              <w:rPr>
                <w:sz w:val="19"/>
              </w:rPr>
              <w:t>Privacy information management policy</w:t>
            </w:r>
          </w:p>
        </w:tc>
      </w:tr>
      <w:tr>
        <w:tc>
          <w:tcPr>
            <w:tcW w:type="dxa" w:w="2551"/>
            <w:shd w:val="clear" w:color="auto" w:fill="EEF3F8"/>
          </w:tcPr>
          <w:p>
            <w:pPr>
              <w:spacing w:after="40"/>
            </w:pPr>
            <w:r>
              <w:rPr>
                <w:b/>
                <w:sz w:val="19"/>
              </w:rPr>
              <w:t>Type</w:t>
            </w:r>
          </w:p>
        </w:tc>
        <w:tc>
          <w:tcPr>
            <w:tcW w:type="dxa" w:w="6803"/>
          </w:tcPr>
          <w:p>
            <w:pPr>
              <w:spacing w:after="40"/>
            </w:pPr>
            <w:r>
              <w:rPr>
                <w:sz w:val="19"/>
              </w:rPr>
              <w:t>Policy</w:t>
            </w:r>
          </w:p>
        </w:tc>
      </w:tr>
      <w:tr>
        <w:tc>
          <w:tcPr>
            <w:tcW w:type="dxa" w:w="2551"/>
            <w:shd w:val="clear" w:color="auto" w:fill="EEF3F8"/>
          </w:tcPr>
          <w:p>
            <w:pPr>
              <w:spacing w:after="40"/>
            </w:pPr>
            <w:r>
              <w:rPr>
                <w:b/>
                <w:sz w:val="19"/>
              </w:rPr>
              <w:t>Framework</w:t>
            </w:r>
          </w:p>
        </w:tc>
        <w:tc>
          <w:tcPr>
            <w:tcW w:type="dxa" w:w="6803"/>
          </w:tcPr>
          <w:p>
            <w:pPr>
              <w:spacing w:after="40"/>
            </w:pPr>
            <w:r>
              <w:rPr>
                <w:sz w:val="19"/>
              </w:rPr>
              <w:t>ISO/IEC 27701</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27701 clause 5.3.2; ISO/IEC 27701 clause 5.2.1; ISO/IEC 27701 clause 6.2.1.1; ISO/IEC 27001:2022 clause 5.2; ISO/IEC 27001:2022 Annex A 5.34; GDPR Article 5; GDPR Article 24</w:t>
            </w:r>
          </w:p>
        </w:tc>
      </w:tr>
      <w:tr>
        <w:tc>
          <w:tcPr>
            <w:tcW w:type="dxa" w:w="2551"/>
            <w:shd w:val="clear" w:color="auto" w:fill="EEF3F8"/>
          </w:tcPr>
          <w:p>
            <w:pPr>
              <w:spacing w:after="40"/>
            </w:pPr>
            <w:r>
              <w:rPr>
                <w:b/>
                <w:sz w:val="19"/>
              </w:rPr>
              <w:t>Owner (role)</w:t>
            </w:r>
          </w:p>
        </w:tc>
        <w:tc>
          <w:tcPr>
            <w:tcW w:type="dxa" w:w="6803"/>
          </w:tcPr>
          <w:p>
            <w:pPr>
              <w:spacing w:after="40"/>
            </w:pPr>
            <w:r>
              <w:rPr>
                <w:sz w:val="19"/>
              </w:rPr>
              <w:t>Privacy Officer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policy extends [Organisation]'s information security management system into a privacy information management system. It states the principles that every processing of personal data must satisfy, names the roles accountable for them, and commits [Organisation] to the procedures and records that prove the principles are applied.</w:t>
      </w:r>
    </w:p>
    <w:p>
      <w:pPr>
        <w:pStyle w:val="Heading1"/>
      </w:pPr>
      <w:r>
        <w:t>2. Scope</w:t>
      </w:r>
    </w:p>
    <w:p>
      <w:r>
        <w:rPr>
          <w:b w:val="0"/>
          <w:i w:val="0"/>
        </w:rPr>
        <w:t>It applies to all personal data that [Organisation] processes within the scope in ISMS-STM-01, whether as a controller, a processor, or both, in every system, service, office and supplier arrangement, and to every employee, contractor and supplier who handles that data. Personal data means any information relating to an identified or identifiable individual, including identifiers, online identifiers and data that becomes identifying when combined.</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Chief Executive Officer</w:t>
            </w:r>
          </w:p>
        </w:tc>
        <w:tc>
          <w:tcPr>
            <w:tcW w:type="dxa" w:w="4873"/>
          </w:tcPr>
          <w:p>
            <w:pPr>
              <w:spacing w:after="40"/>
            </w:pPr>
            <w:r>
              <w:rPr>
                <w:b w:val="0"/>
                <w:i w:val="0"/>
                <w:sz w:val="19"/>
              </w:rPr>
              <w:t>Approves this policy, provides the Privacy Officer with resources and direct access, and accepts residual privacy risk rated high.</w:t>
            </w:r>
          </w:p>
        </w:tc>
      </w:tr>
      <w:tr>
        <w:tc>
          <w:tcPr>
            <w:tcW w:type="dxa" w:w="4873"/>
          </w:tcPr>
          <w:p>
            <w:pPr>
              <w:spacing w:after="40"/>
            </w:pPr>
            <w:r>
              <w:rPr>
                <w:b w:val="0"/>
                <w:i w:val="0"/>
                <w:sz w:val="19"/>
              </w:rPr>
              <w:t>Privacy Officer</w:t>
            </w:r>
          </w:p>
        </w:tc>
        <w:tc>
          <w:tcPr>
            <w:tcW w:type="dxa" w:w="4873"/>
          </w:tcPr>
          <w:p>
            <w:pPr>
              <w:spacing w:after="40"/>
            </w:pPr>
            <w:r>
              <w:rPr>
                <w:b w:val="0"/>
                <w:i w:val="0"/>
                <w:sz w:val="19"/>
              </w:rPr>
              <w:t>Owns this policy and the privacy procedures, advises on obligations, monitors compliance, runs assessments, handles requests and breaches, and is the contact point for individuals and the supervisory authority. Reports to the Chief Executive Officer and is not instructed on how to perform these tasks.</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Integrates privacy requirements into the risk method, the Statement of Applicability, the audit programme and the management review.</w:t>
            </w:r>
          </w:p>
        </w:tc>
      </w:tr>
      <w:tr>
        <w:tc>
          <w:tcPr>
            <w:tcW w:type="dxa" w:w="4873"/>
          </w:tcPr>
          <w:p>
            <w:pPr>
              <w:spacing w:after="40"/>
            </w:pPr>
            <w:r>
              <w:rPr>
                <w:b w:val="0"/>
                <w:i w:val="0"/>
                <w:sz w:val="19"/>
              </w:rPr>
              <w:t>Processing Owner</w:t>
            </w:r>
          </w:p>
        </w:tc>
        <w:tc>
          <w:tcPr>
            <w:tcW w:type="dxa" w:w="4873"/>
          </w:tcPr>
          <w:p>
            <w:pPr>
              <w:spacing w:after="40"/>
            </w:pPr>
            <w:r>
              <w:rPr>
                <w:b w:val="0"/>
                <w:i w:val="0"/>
                <w:sz w:val="19"/>
              </w:rPr>
              <w:t>The manager accountable for a processing activity in PIMS-REG-01. Keeps its entry current, applies this policy to it and answers for it in assessments and audits.</w:t>
            </w:r>
          </w:p>
        </w:tc>
      </w:tr>
      <w:tr>
        <w:tc>
          <w:tcPr>
            <w:tcW w:type="dxa" w:w="4873"/>
          </w:tcPr>
          <w:p>
            <w:pPr>
              <w:spacing w:after="40"/>
            </w:pPr>
            <w:r>
              <w:rPr>
                <w:b w:val="0"/>
                <w:i w:val="0"/>
                <w:sz w:val="19"/>
              </w:rPr>
              <w:t>System Owner</w:t>
            </w:r>
          </w:p>
        </w:tc>
        <w:tc>
          <w:tcPr>
            <w:tcW w:type="dxa" w:w="4873"/>
          </w:tcPr>
          <w:p>
            <w:pPr>
              <w:spacing w:after="40"/>
            </w:pPr>
            <w:r>
              <w:rPr>
                <w:b w:val="0"/>
                <w:i w:val="0"/>
                <w:sz w:val="19"/>
              </w:rPr>
              <w:t>Implements the technical measures a processing activity needs in the system that supports it, including retention, access and rights support.</w:t>
            </w:r>
          </w:p>
        </w:tc>
      </w:tr>
      <w:tr>
        <w:tc>
          <w:tcPr>
            <w:tcW w:type="dxa" w:w="4873"/>
          </w:tcPr>
          <w:p>
            <w:pPr>
              <w:spacing w:after="40"/>
            </w:pPr>
            <w:r>
              <w:rPr>
                <w:b w:val="0"/>
                <w:i w:val="0"/>
                <w:sz w:val="19"/>
              </w:rPr>
              <w:t>Head of Engineering</w:t>
            </w:r>
          </w:p>
        </w:tc>
        <w:tc>
          <w:tcPr>
            <w:tcW w:type="dxa" w:w="4873"/>
          </w:tcPr>
          <w:p>
            <w:pPr>
              <w:spacing w:after="40"/>
            </w:pPr>
            <w:r>
              <w:rPr>
                <w:b w:val="0"/>
                <w:i w:val="0"/>
                <w:sz w:val="19"/>
              </w:rPr>
              <w:t>Applies PIMS-PRO-06 to every product and feature that processes personal data.</w:t>
            </w:r>
          </w:p>
        </w:tc>
      </w:tr>
      <w:tr>
        <w:tc>
          <w:tcPr>
            <w:tcW w:type="dxa" w:w="4873"/>
          </w:tcPr>
          <w:p>
            <w:pPr>
              <w:spacing w:after="40"/>
            </w:pPr>
            <w:r>
              <w:rPr>
                <w:b w:val="0"/>
                <w:i w:val="0"/>
                <w:sz w:val="19"/>
              </w:rPr>
              <w:t>Human Resources</w:t>
            </w:r>
          </w:p>
        </w:tc>
        <w:tc>
          <w:tcPr>
            <w:tcW w:type="dxa" w:w="4873"/>
          </w:tcPr>
          <w:p>
            <w:pPr>
              <w:spacing w:after="40"/>
            </w:pPr>
            <w:r>
              <w:rPr>
                <w:b w:val="0"/>
                <w:i w:val="0"/>
                <w:sz w:val="19"/>
              </w:rPr>
              <w:t>Applies this policy to employee and applicant data and runs privacy training through GOV-PRO-08.</w:t>
            </w:r>
          </w:p>
        </w:tc>
      </w:tr>
      <w:tr>
        <w:tc>
          <w:tcPr>
            <w:tcW w:type="dxa" w:w="4873"/>
          </w:tcPr>
          <w:p>
            <w:pPr>
              <w:spacing w:after="40"/>
            </w:pPr>
            <w:r>
              <w:rPr>
                <w:b w:val="0"/>
                <w:i w:val="0"/>
                <w:sz w:val="19"/>
              </w:rPr>
              <w:t>All staff and contractors</w:t>
            </w:r>
          </w:p>
        </w:tc>
        <w:tc>
          <w:tcPr>
            <w:tcW w:type="dxa" w:w="4873"/>
          </w:tcPr>
          <w:p>
            <w:pPr>
              <w:spacing w:after="40"/>
            </w:pPr>
            <w:r>
              <w:rPr>
                <w:b w:val="0"/>
                <w:i w:val="0"/>
                <w:sz w:val="19"/>
              </w:rPr>
              <w:t>Handle personal data only for the recorded purpose, report suspected breaches and requests from individuals immediately, and complete privacy training.</w:t>
            </w:r>
          </w:p>
        </w:tc>
      </w:tr>
    </w:tbl>
    <w:p/>
    <w:p>
      <w:pPr>
        <w:pStyle w:val="Heading1"/>
      </w:pPr>
      <w:r>
        <w:t>4. Policy statements</w:t>
      </w:r>
    </w:p>
    <w:p>
      <w:r>
        <w:rPr>
          <w:b w:val="0"/>
          <w:i w:val="0"/>
        </w:rPr>
        <w:t xml:space="preserve">4.1 </w:t>
      </w:r>
      <w:r>
        <w:rPr>
          <w:b/>
        </w:rPr>
        <w:t>Lawfulness, fairness and transparency.</w:t>
      </w:r>
      <w:r>
        <w:rPr>
          <w:b w:val="0"/>
          <w:i w:val="0"/>
        </w:rPr>
        <w:t xml:space="preserve"> Every processing activity has a lawful basis recorded in PIMS-REG-01 before it starts, and the individuals concerned are told about it through a notice managed under PIMS-PRO-05. No personal data is processed in a way the individuals would not reasonably expect from that notice.</w:t>
      </w:r>
    </w:p>
    <w:p>
      <w:r>
        <w:rPr>
          <w:b w:val="0"/>
          <w:i w:val="0"/>
        </w:rPr>
        <w:t xml:space="preserve">4.2 </w:t>
      </w:r>
      <w:r>
        <w:rPr>
          <w:b/>
        </w:rPr>
        <w:t>Purpose limitation.</w:t>
      </w:r>
      <w:r>
        <w:rPr>
          <w:b w:val="0"/>
          <w:i w:val="0"/>
        </w:rPr>
        <w:t xml:space="preserve"> Personal data is collected for the specific purposes recorded in PIMS-REG-01 and is not used for a new purpose unless the Privacy Officer confirms in writing that the new purpose is compatible or that a new lawful basis and notice are in place.</w:t>
      </w:r>
    </w:p>
    <w:p>
      <w:r>
        <w:rPr>
          <w:b w:val="0"/>
          <w:i w:val="0"/>
        </w:rPr>
        <w:t xml:space="preserve">4.3 </w:t>
      </w:r>
      <w:r>
        <w:rPr>
          <w:b/>
        </w:rPr>
        <w:t>Minimisation.</w:t>
      </w:r>
      <w:r>
        <w:rPr>
          <w:b w:val="0"/>
          <w:i w:val="0"/>
        </w:rPr>
        <w:t xml:space="preserve"> Each processing activity collects and keeps only the data fields the recorded purpose needs. The Processing Owner confirms this at the privacy by design review in PIMS-PRO-06 and at every inventory review.</w:t>
      </w:r>
    </w:p>
    <w:p>
      <w:r>
        <w:rPr>
          <w:b w:val="0"/>
          <w:i w:val="0"/>
        </w:rPr>
        <w:t xml:space="preserve">4.4 </w:t>
      </w:r>
      <w:r>
        <w:rPr>
          <w:b/>
        </w:rPr>
        <w:t>Accuracy.</w:t>
      </w:r>
      <w:r>
        <w:rPr>
          <w:b w:val="0"/>
          <w:i w:val="0"/>
        </w:rPr>
        <w:t xml:space="preserve"> Personal data is kept accurate and up to date in proportion to the harm an error could cause. Individuals can correct their data through PIMS-PRO-03, and corrections reach every system and recipient that holds the data.</w:t>
      </w:r>
    </w:p>
    <w:p>
      <w:r>
        <w:rPr>
          <w:b w:val="0"/>
          <w:i w:val="0"/>
        </w:rPr>
        <w:t xml:space="preserve">4.5 </w:t>
      </w:r>
      <w:r>
        <w:rPr>
          <w:b/>
        </w:rPr>
        <w:t>Storage limitation.</w:t>
      </w:r>
      <w:r>
        <w:rPr>
          <w:b w:val="0"/>
          <w:i w:val="0"/>
        </w:rPr>
        <w:t xml:space="preserve"> Personal data is kept no longer than the period in PIMS-REG-07, set under PIMS-POL-02, and is then deleted, anonymised or returned, including copies in backups and logs within their own cycle.</w:t>
      </w:r>
    </w:p>
    <w:p>
      <w:r>
        <w:rPr>
          <w:b w:val="0"/>
          <w:i w:val="0"/>
        </w:rPr>
        <w:t xml:space="preserve">4.6 </w:t>
      </w:r>
      <w:r>
        <w:rPr>
          <w:b/>
        </w:rPr>
        <w:t>Integrity and confidentiality.</w:t>
      </w:r>
      <w:r>
        <w:rPr>
          <w:b w:val="0"/>
          <w:i w:val="0"/>
        </w:rPr>
        <w:t xml:space="preserve"> Personal data is protected by the controls in the Statement of Applicability ISMS-REG-01, selected through GOV-PRO-05 with the harm to individuals treated as an impact in its own right. Access is granted under GOV-PRO-10 on a need to know basis only.</w:t>
      </w:r>
    </w:p>
    <w:p>
      <w:r>
        <w:rPr>
          <w:b w:val="0"/>
          <w:i w:val="0"/>
        </w:rPr>
        <w:t xml:space="preserve">4.7 </w:t>
      </w:r>
      <w:r>
        <w:rPr>
          <w:b/>
        </w:rPr>
        <w:t>Accountability.</w:t>
      </w:r>
      <w:r>
        <w:rPr>
          <w:b w:val="0"/>
          <w:i w:val="0"/>
        </w:rPr>
        <w:t xml:space="preserve"> [Organisation] can show that each statement in this policy is met, through the registers in section 5, the assessments in PIMS-REG-08 and the monitoring report produced quarterly under PIMS-PRO-07.</w:t>
      </w:r>
    </w:p>
    <w:p>
      <w:r>
        <w:rPr>
          <w:b w:val="0"/>
          <w:i w:val="0"/>
        </w:rPr>
        <w:t xml:space="preserve">4.8 </w:t>
      </w:r>
      <w:r>
        <w:rPr>
          <w:b/>
        </w:rPr>
        <w:t>Roles decided first.</w:t>
      </w:r>
      <w:r>
        <w:rPr>
          <w:b w:val="0"/>
          <w:i w:val="0"/>
        </w:rPr>
        <w:t xml:space="preserve"> Before any new processing activity, contract or supplier arrangement starts, the Privacy Officer records under PIMS-PRO-01 whether [Organisation] acts as controller, joint controller or processor, because the obligations differ.</w:t>
      </w:r>
    </w:p>
    <w:p>
      <w:r>
        <w:rPr>
          <w:b w:val="0"/>
          <w:i w:val="0"/>
        </w:rPr>
        <w:t xml:space="preserve">4.9 </w:t>
      </w:r>
      <w:r>
        <w:rPr>
          <w:b/>
        </w:rPr>
        <w:t>Privacy risk and impact assessment.</w:t>
      </w:r>
      <w:r>
        <w:rPr>
          <w:b w:val="0"/>
          <w:i w:val="0"/>
        </w:rPr>
        <w:t xml:space="preserve"> Every new or changed processing activity is screened under PIMS-PRO-02 before design approval, and a data protection impact assessment is completed and approved before processing that is likely to result in a high risk to individuals begins.</w:t>
      </w:r>
    </w:p>
    <w:p>
      <w:r>
        <w:rPr>
          <w:b w:val="0"/>
          <w:i w:val="0"/>
        </w:rPr>
        <w:t xml:space="preserve">4.10 </w:t>
      </w:r>
      <w:r>
        <w:rPr>
          <w:b/>
        </w:rPr>
        <w:t>Rights of individuals.</w:t>
      </w:r>
      <w:r>
        <w:rPr>
          <w:b w:val="0"/>
          <w:i w:val="0"/>
        </w:rPr>
        <w:t xml:space="preserve"> Requests from individuals are handled under PIMS-PRO-03 within one month of receipt, free of charge, with every request and its outcome recorded in PIMS-REG-02.</w:t>
      </w:r>
    </w:p>
    <w:p>
      <w:r>
        <w:rPr>
          <w:b w:val="0"/>
          <w:i w:val="0"/>
        </w:rPr>
        <w:t xml:space="preserve">4.11 </w:t>
      </w:r>
      <w:r>
        <w:rPr>
          <w:b/>
        </w:rPr>
        <w:t>Breaches.</w:t>
      </w:r>
      <w:r>
        <w:rPr>
          <w:b w:val="0"/>
          <w:i w:val="0"/>
        </w:rPr>
        <w:t xml:space="preserve"> A suspected personal data breach is reported immediately through the incident channel in GOV-PRO-07 and assessed under PIMS-PRO-04, with the supervisory authority notified within 72 hours of awareness where the risk to individuals requires it and the controller notified without undue delay where [Organisation] is a processor.</w:t>
      </w:r>
    </w:p>
    <w:p>
      <w:r>
        <w:rPr>
          <w:b w:val="0"/>
          <w:i w:val="0"/>
        </w:rPr>
        <w:t xml:space="preserve">4.12 </w:t>
      </w:r>
      <w:r>
        <w:rPr>
          <w:b/>
        </w:rPr>
        <w:t>Processors and sharing.</w:t>
      </w:r>
      <w:r>
        <w:rPr>
          <w:b w:val="0"/>
          <w:i w:val="0"/>
        </w:rPr>
        <w:t xml:space="preserve"> Personal data is shared with a processor only under written terms that meet GDPR Article 28, based on PIMS-TPL-02, after approval under GOV-PRO-06, and the processor is listed in PIMS-REG-06.</w:t>
      </w:r>
    </w:p>
    <w:p>
      <w:r>
        <w:rPr>
          <w:b w:val="0"/>
          <w:i w:val="0"/>
        </w:rPr>
        <w:t xml:space="preserve">4.13 </w:t>
      </w:r>
      <w:r>
        <w:rPr>
          <w:b/>
        </w:rPr>
        <w:t>International transfers.</w:t>
      </w:r>
      <w:r>
        <w:rPr>
          <w:b w:val="0"/>
          <w:i w:val="0"/>
        </w:rPr>
        <w:t xml:space="preserve"> Personal data leaves the region in which [Organisation] is established only under a mechanism approved in PIMS-POL-03 and recorded in PIMS-REG-05.</w:t>
      </w:r>
    </w:p>
    <w:p>
      <w:r>
        <w:rPr>
          <w:b w:val="0"/>
          <w:i w:val="0"/>
        </w:rPr>
        <w:t xml:space="preserve">4.14 </w:t>
      </w:r>
      <w:r>
        <w:rPr>
          <w:b/>
        </w:rPr>
        <w:t>Privacy by design and by default.</w:t>
      </w:r>
      <w:r>
        <w:rPr>
          <w:b w:val="0"/>
          <w:i w:val="0"/>
        </w:rPr>
        <w:t xml:space="preserve"> Every product, feature, system and procurement that processes personal data passes the review in PIMS-PRO-06, and the default configuration offered to individuals is the most privacy-protective option available.</w:t>
      </w:r>
    </w:p>
    <w:p>
      <w:r>
        <w:rPr>
          <w:b w:val="0"/>
          <w:i w:val="0"/>
        </w:rPr>
        <w:t xml:space="preserve">4.15 </w:t>
      </w:r>
      <w:r>
        <w:rPr>
          <w:b/>
        </w:rPr>
        <w:t>Training.</w:t>
      </w:r>
      <w:r>
        <w:rPr>
          <w:b w:val="0"/>
          <w:i w:val="0"/>
        </w:rPr>
        <w:t xml:space="preserve"> Every person completes privacy training at induction and annually under GOV-PRO-08, with role-based content for people who design systems, handle requests or respond to incidents, recorded in GDPR-REG-05.</w:t>
      </w:r>
    </w:p>
    <w:p>
      <w:r>
        <w:rPr>
          <w:b w:val="0"/>
          <w:i w:val="0"/>
        </w:rPr>
        <w:t xml:space="preserve">4.16 </w:t>
      </w:r>
      <w:r>
        <w:rPr>
          <w:b/>
        </w:rPr>
        <w:t>One management system.</w:t>
      </w:r>
      <w:r>
        <w:rPr>
          <w:b w:val="0"/>
          <w:i w:val="0"/>
        </w:rPr>
        <w:t xml:space="preserve"> Privacy controls are selected, implemented, audited and reviewed through the same processes as security controls: GOV-PRO-05 for risk, ISMS-REG-01 for applicability of the ISO/IEC 27701 Annex A and Annex B controls, GOV-PRO-02 for internal audit and GOV-PRO-03 for management review. The Privacy Officer attends every management review.</w:t>
      </w:r>
    </w:p>
    <w:p>
      <w:r>
        <w:rPr>
          <w:b w:val="0"/>
          <w:i w:val="0"/>
        </w:rPr>
        <w:t xml:space="preserve">4.17 </w:t>
      </w:r>
      <w:r>
        <w:rPr>
          <w:b/>
        </w:rPr>
        <w:t>Consequences.</w:t>
      </w:r>
      <w:r>
        <w:rPr>
          <w:b w:val="0"/>
          <w:i w:val="0"/>
        </w:rPr>
        <w:t xml:space="preserve"> A breach of this policy is handled under the disciplinary process in GOV-PRO-18, and for a supplier under the contract.</w:t>
      </w:r>
    </w:p>
    <w:p>
      <w:pPr>
        <w:pStyle w:val="Heading1"/>
      </w:pPr>
      <w:r>
        <w:t>5. Records and evidence</w:t>
      </w:r>
    </w:p>
    <w:p>
      <w:pPr>
        <w:pStyle w:val="ListBullet"/>
      </w:pPr>
      <w:r>
        <w:rPr>
          <w:b w:val="0"/>
          <w:i w:val="0"/>
        </w:rPr>
        <w:t>PIMS-REG-01 Personal data processing inventory, with roles, purposes, bases and retention.</w:t>
      </w:r>
    </w:p>
    <w:p>
      <w:pPr>
        <w:pStyle w:val="ListBullet"/>
      </w:pPr>
      <w:r>
        <w:rPr>
          <w:b w:val="0"/>
          <w:i w:val="0"/>
        </w:rPr>
        <w:t>PIMS-REG-02 Data subject request register and PIMS-REG-03 Personal data breach register.</w:t>
      </w:r>
    </w:p>
    <w:p>
      <w:pPr>
        <w:pStyle w:val="ListBullet"/>
      </w:pPr>
      <w:r>
        <w:rPr>
          <w:b w:val="0"/>
          <w:i w:val="0"/>
        </w:rPr>
        <w:t>PIMS-REG-04 Consent record register, PIMS-REG-05 International transfer register and PIMS-REG-06 Processor and sub-processor register.</w:t>
      </w:r>
    </w:p>
    <w:p>
      <w:pPr>
        <w:pStyle w:val="ListBullet"/>
      </w:pPr>
      <w:r>
        <w:rPr>
          <w:b w:val="0"/>
          <w:i w:val="0"/>
        </w:rPr>
        <w:t>PIMS-REG-07 Retention schedule with check results and PIMS-REG-08 DPIA register.</w:t>
      </w:r>
    </w:p>
    <w:p>
      <w:pPr>
        <w:pStyle w:val="ListBullet"/>
      </w:pPr>
      <w:r>
        <w:rPr>
          <w:b w:val="0"/>
          <w:i w:val="0"/>
        </w:rPr>
        <w:t>ISMS-REG-01 Statement of Applicability showing the Annex A and Annex B controls that apply.</w:t>
      </w:r>
    </w:p>
    <w:p>
      <w:pPr>
        <w:pStyle w:val="ListBullet"/>
      </w:pPr>
      <w:r>
        <w:rPr>
          <w:b w:val="0"/>
          <w:i w:val="0"/>
        </w:rPr>
        <w:t>Quarterly privacy monitoring reports under PIMS-PRO-07 and GOV-REG-23 acknowledgements of this policy.</w:t>
      </w:r>
    </w:p>
    <w:p>
      <w:pPr>
        <w:pStyle w:val="Heading1"/>
      </w:pPr>
      <w:r>
        <w:t>6. Exceptions</w:t>
      </w:r>
    </w:p>
    <w:p>
      <w:r>
        <w:rPr>
          <w:b w:val="0"/>
          <w:i w:val="0"/>
        </w:rPr>
        <w:t>No exception to statements 4.1 to 4.7 is possible, because they restate legal obligations. An exception to any other statement is requested under GOV-PRO-24 with the Privacy Officer's written assessment of the effect on individuals and is approved by the Chief Executive Officer.</w:t>
      </w:r>
    </w:p>
    <w:p>
      <w:pPr>
        <w:pStyle w:val="Heading1"/>
      </w:pPr>
      <w:r>
        <w:t>7. Review and maintenance</w:t>
      </w:r>
    </w:p>
    <w:p>
      <w:r>
        <w:rPr>
          <w:b w:val="0"/>
          <w:i w:val="0"/>
        </w:rPr>
        <w:t>The Privacy Officer reviews this policy annually, after a personal data breach notified to a supervisory authority, after a change in applicable privacy law recorded in GOV-REG-04, after a change in [Organisation]'s role under PIMS-PRO-01, and after an audit finding against it. Changes follow GOV-PRO-01 and are communicated under ISMS-PLN-02.</w:t>
      </w:r>
    </w:p>
    <w:p>
      <w:pPr>
        <w:pStyle w:val="Heading1"/>
      </w:pPr>
      <w:r>
        <w:t>8. Related documents</w:t>
      </w:r>
    </w:p>
    <w:p>
      <w:pPr>
        <w:pStyle w:val="ListBullet"/>
      </w:pPr>
      <w:r>
        <w:rPr>
          <w:b w:val="0"/>
          <w:i w:val="0"/>
        </w:rPr>
        <w:t>GOV-POL-01 Information security and privacy governance framework</w:t>
      </w:r>
    </w:p>
    <w:p>
      <w:pPr>
        <w:pStyle w:val="ListBullet"/>
      </w:pPr>
      <w:r>
        <w:rPr>
          <w:b w:val="0"/>
          <w:i w:val="0"/>
        </w:rPr>
        <w:t>GOV-POL-03 Information security policy</w:t>
      </w:r>
    </w:p>
    <w:p>
      <w:pPr>
        <w:pStyle w:val="ListBullet"/>
      </w:pPr>
      <w:r>
        <w:rPr>
          <w:b w:val="0"/>
          <w:i w:val="0"/>
        </w:rPr>
        <w:t>GDPR-POL-01 Data protection policy</w:t>
      </w:r>
    </w:p>
    <w:p>
      <w:pPr>
        <w:pStyle w:val="ListBullet"/>
      </w:pPr>
      <w:r>
        <w:rPr>
          <w:b w:val="0"/>
          <w:i w:val="0"/>
        </w:rPr>
        <w:t>PIMS-PRO-01 Determining controller and processor roles</w:t>
      </w:r>
    </w:p>
    <w:p>
      <w:pPr>
        <w:pStyle w:val="ListBullet"/>
      </w:pPr>
      <w:r>
        <w:rPr>
          <w:b w:val="0"/>
          <w:i w:val="0"/>
        </w:rPr>
        <w:t>PIMS-PRO-02 Privacy risk and data protection impact assessment procedure</w:t>
      </w:r>
    </w:p>
    <w:p>
      <w:pPr>
        <w:pStyle w:val="ListBullet"/>
      </w:pPr>
      <w:r>
        <w:rPr>
          <w:b w:val="0"/>
          <w:i w:val="0"/>
        </w:rPr>
        <w:t>PIMS-PRO-03 Data subject rights handling procedure</w:t>
      </w:r>
    </w:p>
    <w:p>
      <w:pPr>
        <w:pStyle w:val="ListBullet"/>
      </w:pPr>
      <w:r>
        <w:rPr>
          <w:b w:val="0"/>
          <w:i w:val="0"/>
        </w:rPr>
        <w:t>PIMS-PRO-04 Personal data breach assessment and notification procedure</w:t>
      </w:r>
    </w:p>
    <w:p>
      <w:pPr>
        <w:pStyle w:val="ListBullet"/>
      </w:pPr>
      <w:r>
        <w:rPr>
          <w:b w:val="0"/>
          <w:i w:val="0"/>
        </w:rPr>
        <w:t>PIMS-PRO-05 Consent and privacy notice management procedure</w:t>
      </w:r>
    </w:p>
    <w:p>
      <w:pPr>
        <w:pStyle w:val="ListBullet"/>
      </w:pPr>
      <w:r>
        <w:rPr>
          <w:b w:val="0"/>
          <w:i w:val="0"/>
        </w:rPr>
        <w:t>PIMS-PRO-06 Privacy by design and by default procedure</w:t>
      </w:r>
    </w:p>
    <w:p>
      <w:pPr>
        <w:pStyle w:val="ListBullet"/>
      </w:pPr>
      <w:r>
        <w:rPr>
          <w:b w:val="0"/>
          <w:i w:val="0"/>
        </w:rPr>
        <w:t>PIMS-PRO-07 Privacy control effectiveness monitoring procedure</w:t>
      </w:r>
    </w:p>
    <w:p>
      <w:pPr>
        <w:pStyle w:val="ListBullet"/>
      </w:pPr>
      <w:r>
        <w:rPr>
          <w:b w:val="0"/>
          <w:i w:val="0"/>
        </w:rPr>
        <w:t>PIMS-POL-02 Data retention and disposal policy</w:t>
      </w:r>
    </w:p>
    <w:p>
      <w:pPr>
        <w:pStyle w:val="ListBullet"/>
      </w:pPr>
      <w:r>
        <w:rPr>
          <w:b w:val="0"/>
          <w:i w:val="0"/>
        </w:rPr>
        <w:t>PIMS-POL-03 International transfer policy</w:t>
      </w:r>
    </w:p>
    <w:p>
      <w:pPr>
        <w:pStyle w:val="ListBullet"/>
      </w:pPr>
      <w:r>
        <w:rPr>
          <w:b w:val="0"/>
          <w:i w:val="0"/>
        </w:rPr>
        <w:t>PIMS-GDE-01 Guide to the ISO/IEC 27701 Annex A and Annex B controls</w:t>
      </w:r>
    </w:p>
    <w:p>
      <w:pPr>
        <w:pStyle w:val="ListBullet"/>
      </w:pPr>
      <w:r>
        <w:rPr>
          <w:b w:val="0"/>
          <w:i w:val="0"/>
        </w:rPr>
        <w:t>PB-05 Playbook: adding ISO/IEC 27701 privacy management to an existing ISMS</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PIMS-POL-01  |  Privacy information management policy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