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SOC-GDE-02</w:t>
      </w:r>
    </w:p>
    <w:p>
      <w:r>
        <w:rPr>
          <w:b/>
          <w:color w:val="0B2D4D"/>
          <w:sz w:val="44"/>
        </w:rPr>
        <w:t>Guide: the auditor's request list and how to answer it from the kit</w:t>
      </w:r>
    </w:p>
    <w:p>
      <w:r>
        <w:rPr>
          <w:i/>
          <w:color w:val="526478"/>
        </w:rPr>
        <w:t>The evidence requests a SOC 2 auditor typically issues, grouped by the team that produces each one, with the kit register or document that holds the answer and the form the answer should take.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SOC-GDE-02</w:t>
            </w:r>
          </w:p>
        </w:tc>
      </w:tr>
      <w:tr>
        <w:tc>
          <w:tcPr>
            <w:tcW w:type="dxa" w:w="2551"/>
            <w:shd w:val="clear" w:color="auto" w:fill="EEF3F8"/>
          </w:tcPr>
          <w:p>
            <w:pPr>
              <w:spacing w:after="40"/>
            </w:pPr>
            <w:r>
              <w:rPr>
                <w:b/>
                <w:sz w:val="19"/>
              </w:rPr>
              <w:t>Title</w:t>
            </w:r>
          </w:p>
        </w:tc>
        <w:tc>
          <w:tcPr>
            <w:tcW w:type="dxa" w:w="6803"/>
          </w:tcPr>
          <w:p>
            <w:pPr>
              <w:spacing w:after="40"/>
            </w:pPr>
            <w:r>
              <w:rPr>
                <w:sz w:val="19"/>
              </w:rPr>
              <w:t>Guide: the auditor's request list and how to answer it from the kit</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CC4.1; SOC 2 CC2.1; SOC 2 CC6.1; SOC 2 CC7.2; SOC 2 CC8.1; SOC 2 CC9.2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the request list works</w:t>
      </w:r>
    </w:p>
    <w:p>
      <w:r>
        <w:rPr>
          <w:b w:val="0"/>
          <w:i w:val="0"/>
        </w:rPr>
        <w:t>A few weeks before fieldwork the auditor sends a request list: one line per item of evidence, each tied to one or more controls in SOC-REG-01, with a due date. The list is long, the dates are short, and the items land on five or six different teams. Organisations that struggle are not short of controls; they are short of a person who knows which team holds each answer and what form it should take.</w:t>
      </w:r>
    </w:p>
    <w:p>
      <w:r>
        <w:rPr>
          <w:b w:val="0"/>
          <w:i w:val="0"/>
        </w:rPr>
        <w:t>This guide groups the typical requests by the owner who produces them. For each request it names the criteria, the kit register or document that holds the answer, and how to deliver it. Read it with PB-09, which sets the evidence rules that apply to every item: dated system exports over screenshots, complete populations over examples, file names that say what the file proves, and a To confirm status for anything not yet seen.</w:t>
      </w:r>
    </w:p>
    <w:p>
      <w:r>
        <w:rPr>
          <w:b w:val="0"/>
          <w:i w:val="0"/>
        </w:rPr>
        <w:t>Four rules apply to every request.</w:t>
      </w:r>
    </w:p>
    <w:p>
      <w:pPr>
        <w:pStyle w:val="ListNumber"/>
      </w:pPr>
      <w:r>
        <w:rPr>
          <w:b w:val="0"/>
          <w:i w:val="0"/>
        </w:rPr>
        <w:t>Deliver populations, not examples. The auditor samples; [Organisation] supplies the whole list with identifiers and dates and lets the auditor choose.</w:t>
      </w:r>
    </w:p>
    <w:p>
      <w:pPr>
        <w:pStyle w:val="ListNumber"/>
      </w:pPr>
      <w:r>
        <w:rPr>
          <w:b w:val="0"/>
          <w:i w:val="0"/>
        </w:rPr>
        <w:t>Deliver evidence from inside the period. A record dated after the period end proves nothing about the period, however good it is.</w:t>
      </w:r>
    </w:p>
    <w:p>
      <w:pPr>
        <w:pStyle w:val="ListNumber"/>
      </w:pPr>
      <w:r>
        <w:rPr>
          <w:b w:val="0"/>
          <w:i w:val="0"/>
        </w:rPr>
        <w:t>Deliver the system of record's own export. A spreadsheet typed from memory is not evidence of anything except memory.</w:t>
      </w:r>
    </w:p>
    <w:p>
      <w:pPr>
        <w:pStyle w:val="ListNumber"/>
      </w:pPr>
      <w:r>
        <w:rPr>
          <w:b w:val="0"/>
          <w:i w:val="0"/>
        </w:rPr>
        <w:t>Deliver through one channel, with one person tracking status per item. The Information Security Manager owns the list; the teams below own the items.</w:t>
      </w:r>
    </w:p>
    <w:p>
      <w:pPr>
        <w:pStyle w:val="Heading1"/>
      </w:pPr>
      <w:r>
        <w:t>2. People team</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Request</w:t>
            </w:r>
          </w:p>
        </w:tc>
        <w:tc>
          <w:tcPr>
            <w:tcW w:type="dxa" w:w="2436"/>
            <w:shd w:val="clear" w:color="auto" w:fill="EEF3F8"/>
          </w:tcPr>
          <w:p>
            <w:pPr>
              <w:spacing w:after="40"/>
            </w:pPr>
            <w:r>
              <w:rPr>
                <w:b/>
                <w:i w:val="0"/>
                <w:sz w:val="19"/>
              </w:rPr>
              <w:t>Criteria</w:t>
            </w:r>
          </w:p>
        </w:tc>
        <w:tc>
          <w:tcPr>
            <w:tcW w:type="dxa" w:w="2436"/>
            <w:shd w:val="clear" w:color="auto" w:fill="EEF3F8"/>
          </w:tcPr>
          <w:p>
            <w:pPr>
              <w:spacing w:after="40"/>
            </w:pPr>
            <w:r>
              <w:rPr>
                <w:b/>
                <w:i w:val="0"/>
                <w:sz w:val="19"/>
              </w:rPr>
              <w:t>Kit source</w:t>
            </w:r>
          </w:p>
        </w:tc>
        <w:tc>
          <w:tcPr>
            <w:tcW w:type="dxa" w:w="2436"/>
            <w:shd w:val="clear" w:color="auto" w:fill="EEF3F8"/>
          </w:tcPr>
          <w:p>
            <w:pPr>
              <w:spacing w:after="40"/>
            </w:pPr>
            <w:r>
              <w:rPr>
                <w:b/>
                <w:i w:val="0"/>
                <w:sz w:val="19"/>
              </w:rPr>
              <w:t>Deliver as</w:t>
            </w:r>
          </w:p>
        </w:tc>
      </w:tr>
      <w:tr>
        <w:tc>
          <w:tcPr>
            <w:tcW w:type="dxa" w:w="2436"/>
          </w:tcPr>
          <w:p>
            <w:pPr>
              <w:spacing w:after="40"/>
            </w:pPr>
            <w:r>
              <w:rPr>
                <w:b w:val="0"/>
                <w:i w:val="0"/>
                <w:sz w:val="19"/>
              </w:rPr>
              <w:t>List of all employees and contractors at period start, joiners and leavers during the period, with dates</w:t>
            </w:r>
          </w:p>
        </w:tc>
        <w:tc>
          <w:tcPr>
            <w:tcW w:type="dxa" w:w="2436"/>
          </w:tcPr>
          <w:p>
            <w:pPr>
              <w:spacing w:after="40"/>
            </w:pPr>
            <w:r>
              <w:rPr>
                <w:b w:val="0"/>
                <w:i w:val="0"/>
                <w:sz w:val="19"/>
              </w:rPr>
              <w:t>CC1.4, CC6.2, CC6.3</w:t>
            </w:r>
          </w:p>
        </w:tc>
        <w:tc>
          <w:tcPr>
            <w:tcW w:type="dxa" w:w="2436"/>
          </w:tcPr>
          <w:p>
            <w:pPr>
              <w:spacing w:after="40"/>
            </w:pPr>
            <w:r>
              <w:rPr>
                <w:b w:val="0"/>
                <w:i w:val="0"/>
                <w:sz w:val="19"/>
              </w:rPr>
              <w:t>People system; GOV-CHK-01</w:t>
            </w:r>
          </w:p>
        </w:tc>
        <w:tc>
          <w:tcPr>
            <w:tcW w:type="dxa" w:w="2436"/>
          </w:tcPr>
          <w:p>
            <w:pPr>
              <w:spacing w:after="40"/>
            </w:pPr>
            <w:r>
              <w:rPr>
                <w:b w:val="0"/>
                <w:i w:val="0"/>
                <w:sz w:val="19"/>
              </w:rPr>
              <w:t>Export with start and end dates; this is the population for onboarding and offboarding samples</w:t>
            </w:r>
          </w:p>
        </w:tc>
      </w:tr>
      <w:tr>
        <w:tc>
          <w:tcPr>
            <w:tcW w:type="dxa" w:w="2436"/>
          </w:tcPr>
          <w:p>
            <w:pPr>
              <w:spacing w:after="40"/>
            </w:pPr>
            <w:r>
              <w:rPr>
                <w:b w:val="0"/>
                <w:i w:val="0"/>
                <w:sz w:val="19"/>
              </w:rPr>
              <w:t>Evidence of background screening for sampled joiners</w:t>
            </w:r>
          </w:p>
        </w:tc>
        <w:tc>
          <w:tcPr>
            <w:tcW w:type="dxa" w:w="2436"/>
          </w:tcPr>
          <w:p>
            <w:pPr>
              <w:spacing w:after="40"/>
            </w:pPr>
            <w:r>
              <w:rPr>
                <w:b w:val="0"/>
                <w:i w:val="0"/>
                <w:sz w:val="19"/>
              </w:rPr>
              <w:t>CC1.1, CC1.4</w:t>
            </w:r>
          </w:p>
        </w:tc>
        <w:tc>
          <w:tcPr>
            <w:tcW w:type="dxa" w:w="2436"/>
          </w:tcPr>
          <w:p>
            <w:pPr>
              <w:spacing w:after="40"/>
            </w:pPr>
            <w:r>
              <w:rPr>
                <w:b w:val="0"/>
                <w:i w:val="0"/>
                <w:sz w:val="19"/>
              </w:rPr>
              <w:t>GOV-PRO-18; GOV-REG-23</w:t>
            </w:r>
          </w:p>
        </w:tc>
        <w:tc>
          <w:tcPr>
            <w:tcW w:type="dxa" w:w="2436"/>
          </w:tcPr>
          <w:p>
            <w:pPr>
              <w:spacing w:after="40"/>
            </w:pPr>
            <w:r>
              <w:rPr>
                <w:b w:val="0"/>
                <w:i w:val="0"/>
                <w:sz w:val="19"/>
              </w:rPr>
              <w:t>Screening completion record per sampled person, dated before start</w:t>
            </w:r>
          </w:p>
        </w:tc>
      </w:tr>
      <w:tr>
        <w:tc>
          <w:tcPr>
            <w:tcW w:type="dxa" w:w="2436"/>
          </w:tcPr>
          <w:p>
            <w:pPr>
              <w:spacing w:after="40"/>
            </w:pPr>
            <w:r>
              <w:rPr>
                <w:b w:val="0"/>
                <w:i w:val="0"/>
                <w:sz w:val="19"/>
              </w:rPr>
              <w:t>Signed terms with confidentiality and security obligations for sampled joiners</w:t>
            </w:r>
          </w:p>
        </w:tc>
        <w:tc>
          <w:tcPr>
            <w:tcW w:type="dxa" w:w="2436"/>
          </w:tcPr>
          <w:p>
            <w:pPr>
              <w:spacing w:after="40"/>
            </w:pPr>
            <w:r>
              <w:rPr>
                <w:b w:val="0"/>
                <w:i w:val="0"/>
                <w:sz w:val="19"/>
              </w:rPr>
              <w:t>CC1.1, CC1.5</w:t>
            </w:r>
          </w:p>
        </w:tc>
        <w:tc>
          <w:tcPr>
            <w:tcW w:type="dxa" w:w="2436"/>
          </w:tcPr>
          <w:p>
            <w:pPr>
              <w:spacing w:after="40"/>
            </w:pPr>
            <w:r>
              <w:rPr>
                <w:b w:val="0"/>
                <w:i w:val="0"/>
                <w:sz w:val="19"/>
              </w:rPr>
              <w:t>GOV-PRO-18</w:t>
            </w:r>
          </w:p>
        </w:tc>
        <w:tc>
          <w:tcPr>
            <w:tcW w:type="dxa" w:w="2436"/>
          </w:tcPr>
          <w:p>
            <w:pPr>
              <w:spacing w:after="40"/>
            </w:pPr>
            <w:r>
              <w:rPr>
                <w:b w:val="0"/>
                <w:i w:val="0"/>
                <w:sz w:val="19"/>
              </w:rPr>
              <w:t>Signed agreement or acknowledgement record naming the version</w:t>
            </w:r>
          </w:p>
        </w:tc>
      </w:tr>
      <w:tr>
        <w:tc>
          <w:tcPr>
            <w:tcW w:type="dxa" w:w="2436"/>
          </w:tcPr>
          <w:p>
            <w:pPr>
              <w:spacing w:after="40"/>
            </w:pPr>
            <w:r>
              <w:rPr>
                <w:b w:val="0"/>
                <w:i w:val="0"/>
                <w:sz w:val="19"/>
              </w:rPr>
              <w:t>Code of conduct or acceptable use acknowledgement for all staff</w:t>
            </w:r>
          </w:p>
        </w:tc>
        <w:tc>
          <w:tcPr>
            <w:tcW w:type="dxa" w:w="2436"/>
          </w:tcPr>
          <w:p>
            <w:pPr>
              <w:spacing w:after="40"/>
            </w:pPr>
            <w:r>
              <w:rPr>
                <w:b w:val="0"/>
                <w:i w:val="0"/>
                <w:sz w:val="19"/>
              </w:rPr>
              <w:t>CC1.1, CC2.2</w:t>
            </w:r>
          </w:p>
        </w:tc>
        <w:tc>
          <w:tcPr>
            <w:tcW w:type="dxa" w:w="2436"/>
          </w:tcPr>
          <w:p>
            <w:pPr>
              <w:spacing w:after="40"/>
            </w:pPr>
            <w:r>
              <w:rPr>
                <w:b w:val="0"/>
                <w:i w:val="0"/>
                <w:sz w:val="19"/>
              </w:rPr>
              <w:t>GOV-POL-02; GOV-REG-23</w:t>
            </w:r>
          </w:p>
        </w:tc>
        <w:tc>
          <w:tcPr>
            <w:tcW w:type="dxa" w:w="2436"/>
          </w:tcPr>
          <w:p>
            <w:pPr>
              <w:spacing w:after="40"/>
            </w:pPr>
            <w:r>
              <w:rPr>
                <w:b w:val="0"/>
                <w:i w:val="0"/>
                <w:sz w:val="19"/>
              </w:rPr>
              <w:t>Export of acknowledgements with policy version and date</w:t>
            </w:r>
          </w:p>
        </w:tc>
      </w:tr>
      <w:tr>
        <w:tc>
          <w:tcPr>
            <w:tcW w:type="dxa" w:w="2436"/>
          </w:tcPr>
          <w:p>
            <w:pPr>
              <w:spacing w:after="40"/>
            </w:pPr>
            <w:r>
              <w:rPr>
                <w:b w:val="0"/>
                <w:i w:val="0"/>
                <w:sz w:val="19"/>
              </w:rPr>
              <w:t>Security awareness training completion for all staff in the period</w:t>
            </w:r>
          </w:p>
        </w:tc>
        <w:tc>
          <w:tcPr>
            <w:tcW w:type="dxa" w:w="2436"/>
          </w:tcPr>
          <w:p>
            <w:pPr>
              <w:spacing w:after="40"/>
            </w:pPr>
            <w:r>
              <w:rPr>
                <w:b w:val="0"/>
                <w:i w:val="0"/>
                <w:sz w:val="19"/>
              </w:rPr>
              <w:t>CC1.4, CC2.2</w:t>
            </w:r>
          </w:p>
        </w:tc>
        <w:tc>
          <w:tcPr>
            <w:tcW w:type="dxa" w:w="2436"/>
          </w:tcPr>
          <w:p>
            <w:pPr>
              <w:spacing w:after="40"/>
            </w:pPr>
            <w:r>
              <w:rPr>
                <w:b w:val="0"/>
                <w:i w:val="0"/>
                <w:sz w:val="19"/>
              </w:rPr>
              <w:t>GOV-PRO-08; GOV-REG-09</w:t>
            </w:r>
          </w:p>
        </w:tc>
        <w:tc>
          <w:tcPr>
            <w:tcW w:type="dxa" w:w="2436"/>
          </w:tcPr>
          <w:p>
            <w:pPr>
              <w:spacing w:after="40"/>
            </w:pPr>
            <w:r>
              <w:rPr>
                <w:b w:val="0"/>
                <w:i w:val="0"/>
                <w:sz w:val="19"/>
              </w:rPr>
              <w:t>Completion export with names and dates; new starters within the induction window</w:t>
            </w:r>
          </w:p>
        </w:tc>
      </w:tr>
      <w:tr>
        <w:tc>
          <w:tcPr>
            <w:tcW w:type="dxa" w:w="2436"/>
          </w:tcPr>
          <w:p>
            <w:pPr>
              <w:spacing w:after="40"/>
            </w:pPr>
            <w:r>
              <w:rPr>
                <w:b w:val="0"/>
                <w:i w:val="0"/>
                <w:sz w:val="19"/>
              </w:rPr>
              <w:t>Role-based training for developers and administrators</w:t>
            </w:r>
          </w:p>
        </w:tc>
        <w:tc>
          <w:tcPr>
            <w:tcW w:type="dxa" w:w="2436"/>
          </w:tcPr>
          <w:p>
            <w:pPr>
              <w:spacing w:after="40"/>
            </w:pPr>
            <w:r>
              <w:rPr>
                <w:b w:val="0"/>
                <w:i w:val="0"/>
                <w:sz w:val="19"/>
              </w:rPr>
              <w:t>CC1.4</w:t>
            </w:r>
          </w:p>
        </w:tc>
        <w:tc>
          <w:tcPr>
            <w:tcW w:type="dxa" w:w="2436"/>
          </w:tcPr>
          <w:p>
            <w:pPr>
              <w:spacing w:after="40"/>
            </w:pPr>
            <w:r>
              <w:rPr>
                <w:b w:val="0"/>
                <w:i w:val="0"/>
                <w:sz w:val="19"/>
              </w:rPr>
              <w:t>GOV-PRO-08; GOV-REG-09; GOV-TPL-10</w:t>
            </w:r>
          </w:p>
        </w:tc>
        <w:tc>
          <w:tcPr>
            <w:tcW w:type="dxa" w:w="2436"/>
          </w:tcPr>
          <w:p>
            <w:pPr>
              <w:spacing w:after="40"/>
            </w:pPr>
            <w:r>
              <w:rPr>
                <w:b w:val="0"/>
                <w:i w:val="0"/>
                <w:sz w:val="19"/>
              </w:rPr>
              <w:t>Session records and attendance</w:t>
            </w:r>
          </w:p>
        </w:tc>
      </w:tr>
      <w:tr>
        <w:tc>
          <w:tcPr>
            <w:tcW w:type="dxa" w:w="2436"/>
          </w:tcPr>
          <w:p>
            <w:pPr>
              <w:spacing w:after="40"/>
            </w:pPr>
            <w:r>
              <w:rPr>
                <w:b w:val="0"/>
                <w:i w:val="0"/>
                <w:sz w:val="19"/>
              </w:rPr>
              <w:t>Performance review or accountability evidence for control owners</w:t>
            </w:r>
          </w:p>
        </w:tc>
        <w:tc>
          <w:tcPr>
            <w:tcW w:type="dxa" w:w="2436"/>
          </w:tcPr>
          <w:p>
            <w:pPr>
              <w:spacing w:after="40"/>
            </w:pPr>
            <w:r>
              <w:rPr>
                <w:b w:val="0"/>
                <w:i w:val="0"/>
                <w:sz w:val="19"/>
              </w:rPr>
              <w:t>CC1.5</w:t>
            </w:r>
          </w:p>
        </w:tc>
        <w:tc>
          <w:tcPr>
            <w:tcW w:type="dxa" w:w="2436"/>
          </w:tcPr>
          <w:p>
            <w:pPr>
              <w:spacing w:after="40"/>
            </w:pPr>
            <w:r>
              <w:rPr>
                <w:b w:val="0"/>
                <w:i w:val="0"/>
                <w:sz w:val="19"/>
              </w:rPr>
              <w:t>GOV-POL-01; GOV-PRO-18</w:t>
            </w:r>
          </w:p>
        </w:tc>
        <w:tc>
          <w:tcPr>
            <w:tcW w:type="dxa" w:w="2436"/>
          </w:tcPr>
          <w:p>
            <w:pPr>
              <w:spacing w:after="40"/>
            </w:pPr>
            <w:r>
              <w:rPr>
                <w:b w:val="0"/>
                <w:i w:val="0"/>
                <w:sz w:val="19"/>
              </w:rPr>
              <w:t>Role descriptions with control responsibilities; review completion export</w:t>
            </w:r>
          </w:p>
        </w:tc>
      </w:tr>
      <w:tr>
        <w:tc>
          <w:tcPr>
            <w:tcW w:type="dxa" w:w="2436"/>
          </w:tcPr>
          <w:p>
            <w:pPr>
              <w:spacing w:after="40"/>
            </w:pPr>
            <w:r>
              <w:rPr>
                <w:b w:val="0"/>
                <w:i w:val="0"/>
                <w:sz w:val="19"/>
              </w:rPr>
              <w:t>Organisation chart and role descriptions for security roles</w:t>
            </w:r>
          </w:p>
        </w:tc>
        <w:tc>
          <w:tcPr>
            <w:tcW w:type="dxa" w:w="2436"/>
          </w:tcPr>
          <w:p>
            <w:pPr>
              <w:spacing w:after="40"/>
            </w:pPr>
            <w:r>
              <w:rPr>
                <w:b w:val="0"/>
                <w:i w:val="0"/>
                <w:sz w:val="19"/>
              </w:rPr>
              <w:t>CC1.3</w:t>
            </w:r>
          </w:p>
        </w:tc>
        <w:tc>
          <w:tcPr>
            <w:tcW w:type="dxa" w:w="2436"/>
          </w:tcPr>
          <w:p>
            <w:pPr>
              <w:spacing w:after="40"/>
            </w:pPr>
            <w:r>
              <w:rPr>
                <w:b w:val="0"/>
                <w:i w:val="0"/>
                <w:sz w:val="19"/>
              </w:rPr>
              <w:t>GOV-POL-01</w:t>
            </w:r>
          </w:p>
        </w:tc>
        <w:tc>
          <w:tcPr>
            <w:tcW w:type="dxa" w:w="2436"/>
          </w:tcPr>
          <w:p>
            <w:pPr>
              <w:spacing w:after="40"/>
            </w:pPr>
            <w:r>
              <w:rPr>
                <w:b w:val="0"/>
                <w:i w:val="0"/>
                <w:sz w:val="19"/>
              </w:rPr>
              <w:t>Current chart dated inside the period</w:t>
            </w:r>
          </w:p>
        </w:tc>
      </w:tr>
      <w:tr>
        <w:tc>
          <w:tcPr>
            <w:tcW w:type="dxa" w:w="2436"/>
          </w:tcPr>
          <w:p>
            <w:pPr>
              <w:spacing w:after="40"/>
            </w:pPr>
            <w:r>
              <w:rPr>
                <w:b w:val="0"/>
                <w:i w:val="0"/>
                <w:sz w:val="19"/>
              </w:rPr>
              <w:t>Offboarding checklist for sampled leavers</w:t>
            </w:r>
          </w:p>
        </w:tc>
        <w:tc>
          <w:tcPr>
            <w:tcW w:type="dxa" w:w="2436"/>
          </w:tcPr>
          <w:p>
            <w:pPr>
              <w:spacing w:after="40"/>
            </w:pPr>
            <w:r>
              <w:rPr>
                <w:b w:val="0"/>
                <w:i w:val="0"/>
                <w:sz w:val="19"/>
              </w:rPr>
              <w:t>CC6.2, CC6.3</w:t>
            </w:r>
          </w:p>
        </w:tc>
        <w:tc>
          <w:tcPr>
            <w:tcW w:type="dxa" w:w="2436"/>
          </w:tcPr>
          <w:p>
            <w:pPr>
              <w:spacing w:after="40"/>
            </w:pPr>
            <w:r>
              <w:rPr>
                <w:b w:val="0"/>
                <w:i w:val="0"/>
                <w:sz w:val="19"/>
              </w:rPr>
              <w:t>GOV-CHK-01</w:t>
            </w:r>
          </w:p>
        </w:tc>
        <w:tc>
          <w:tcPr>
            <w:tcW w:type="dxa" w:w="2436"/>
          </w:tcPr>
          <w:p>
            <w:pPr>
              <w:spacing w:after="40"/>
            </w:pPr>
            <w:r>
              <w:rPr>
                <w:b w:val="0"/>
                <w:i w:val="0"/>
                <w:sz w:val="19"/>
              </w:rPr>
              <w:t>Completed checklist per leaver with dates</w:t>
            </w:r>
          </w:p>
        </w:tc>
      </w:tr>
      <w:tr>
        <w:tc>
          <w:tcPr>
            <w:tcW w:type="dxa" w:w="2436"/>
          </w:tcPr>
          <w:p>
            <w:pPr>
              <w:spacing w:after="40"/>
            </w:pPr>
            <w:r>
              <w:rPr>
                <w:b w:val="0"/>
                <w:i w:val="0"/>
                <w:sz w:val="19"/>
              </w:rPr>
              <w:t>Disciplinary process and any cases in the period</w:t>
            </w:r>
          </w:p>
        </w:tc>
        <w:tc>
          <w:tcPr>
            <w:tcW w:type="dxa" w:w="2436"/>
          </w:tcPr>
          <w:p>
            <w:pPr>
              <w:spacing w:after="40"/>
            </w:pPr>
            <w:r>
              <w:rPr>
                <w:b w:val="0"/>
                <w:i w:val="0"/>
                <w:sz w:val="19"/>
              </w:rPr>
              <w:t>CC1.1, CC1.5</w:t>
            </w:r>
          </w:p>
        </w:tc>
        <w:tc>
          <w:tcPr>
            <w:tcW w:type="dxa" w:w="2436"/>
          </w:tcPr>
          <w:p>
            <w:pPr>
              <w:spacing w:after="40"/>
            </w:pPr>
            <w:r>
              <w:rPr>
                <w:b w:val="0"/>
                <w:i w:val="0"/>
                <w:sz w:val="19"/>
              </w:rPr>
              <w:t>GOV-PRO-18</w:t>
            </w:r>
          </w:p>
        </w:tc>
        <w:tc>
          <w:tcPr>
            <w:tcW w:type="dxa" w:w="2436"/>
          </w:tcPr>
          <w:p>
            <w:pPr>
              <w:spacing w:after="40"/>
            </w:pPr>
            <w:r>
              <w:rPr>
                <w:b w:val="0"/>
                <w:i w:val="0"/>
                <w:sz w:val="19"/>
              </w:rPr>
              <w:t>Procedure plus a count of cases; details only if the auditor asks</w:t>
            </w:r>
          </w:p>
        </w:tc>
      </w:tr>
    </w:tbl>
    <w:p/>
    <w:p>
      <w:pPr>
        <w:pStyle w:val="Heading1"/>
      </w:pPr>
      <w:r>
        <w:t>3. Engineering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Request</w:t>
            </w:r>
          </w:p>
        </w:tc>
        <w:tc>
          <w:tcPr>
            <w:tcW w:type="dxa" w:w="2436"/>
            <w:shd w:val="clear" w:color="auto" w:fill="EEF3F8"/>
          </w:tcPr>
          <w:p>
            <w:pPr>
              <w:spacing w:after="40"/>
            </w:pPr>
            <w:r>
              <w:rPr>
                <w:b/>
                <w:i w:val="0"/>
                <w:sz w:val="19"/>
              </w:rPr>
              <w:t>Criteria</w:t>
            </w:r>
          </w:p>
        </w:tc>
        <w:tc>
          <w:tcPr>
            <w:tcW w:type="dxa" w:w="2436"/>
            <w:shd w:val="clear" w:color="auto" w:fill="EEF3F8"/>
          </w:tcPr>
          <w:p>
            <w:pPr>
              <w:spacing w:after="40"/>
            </w:pPr>
            <w:r>
              <w:rPr>
                <w:b/>
                <w:i w:val="0"/>
                <w:sz w:val="19"/>
              </w:rPr>
              <w:t>Kit source</w:t>
            </w:r>
          </w:p>
        </w:tc>
        <w:tc>
          <w:tcPr>
            <w:tcW w:type="dxa" w:w="2436"/>
            <w:shd w:val="clear" w:color="auto" w:fill="EEF3F8"/>
          </w:tcPr>
          <w:p>
            <w:pPr>
              <w:spacing w:after="40"/>
            </w:pPr>
            <w:r>
              <w:rPr>
                <w:b/>
                <w:i w:val="0"/>
                <w:sz w:val="19"/>
              </w:rPr>
              <w:t>Deliver as</w:t>
            </w:r>
          </w:p>
        </w:tc>
      </w:tr>
      <w:tr>
        <w:tc>
          <w:tcPr>
            <w:tcW w:type="dxa" w:w="2436"/>
          </w:tcPr>
          <w:p>
            <w:pPr>
              <w:spacing w:after="40"/>
            </w:pPr>
            <w:r>
              <w:rPr>
                <w:b w:val="0"/>
                <w:i w:val="0"/>
                <w:sz w:val="19"/>
              </w:rPr>
              <w:t>List of all production changes in the period</w:t>
            </w:r>
          </w:p>
        </w:tc>
        <w:tc>
          <w:tcPr>
            <w:tcW w:type="dxa" w:w="2436"/>
          </w:tcPr>
          <w:p>
            <w:pPr>
              <w:spacing w:after="40"/>
            </w:pPr>
            <w:r>
              <w:rPr>
                <w:b w:val="0"/>
                <w:i w:val="0"/>
                <w:sz w:val="19"/>
              </w:rPr>
              <w:t>CC8.1</w:t>
            </w:r>
          </w:p>
        </w:tc>
        <w:tc>
          <w:tcPr>
            <w:tcW w:type="dxa" w:w="2436"/>
          </w:tcPr>
          <w:p>
            <w:pPr>
              <w:spacing w:after="40"/>
            </w:pPr>
            <w:r>
              <w:rPr>
                <w:b w:val="0"/>
                <w:i w:val="0"/>
                <w:sz w:val="19"/>
              </w:rPr>
              <w:t>GOV-REG-11; deployment log</w:t>
            </w:r>
          </w:p>
        </w:tc>
        <w:tc>
          <w:tcPr>
            <w:tcW w:type="dxa" w:w="2436"/>
          </w:tcPr>
          <w:p>
            <w:pPr>
              <w:spacing w:after="40"/>
            </w:pPr>
            <w:r>
              <w:rPr>
                <w:b w:val="0"/>
                <w:i w:val="0"/>
                <w:sz w:val="19"/>
              </w:rPr>
              <w:t>Export of change tickets and of deployments, reconciled to each other</w:t>
            </w:r>
          </w:p>
        </w:tc>
      </w:tr>
      <w:tr>
        <w:tc>
          <w:tcPr>
            <w:tcW w:type="dxa" w:w="2436"/>
          </w:tcPr>
          <w:p>
            <w:pPr>
              <w:spacing w:after="40"/>
            </w:pPr>
            <w:r>
              <w:rPr>
                <w:b w:val="0"/>
                <w:i w:val="0"/>
                <w:sz w:val="19"/>
              </w:rPr>
              <w:t>For sampled changes: request, approval, test evidence, deployment record, post-implementation review</w:t>
            </w:r>
          </w:p>
        </w:tc>
        <w:tc>
          <w:tcPr>
            <w:tcW w:type="dxa" w:w="2436"/>
          </w:tcPr>
          <w:p>
            <w:pPr>
              <w:spacing w:after="40"/>
            </w:pPr>
            <w:r>
              <w:rPr>
                <w:b w:val="0"/>
                <w:i w:val="0"/>
                <w:sz w:val="19"/>
              </w:rPr>
              <w:t>CC8.1</w:t>
            </w:r>
          </w:p>
        </w:tc>
        <w:tc>
          <w:tcPr>
            <w:tcW w:type="dxa" w:w="2436"/>
          </w:tcPr>
          <w:p>
            <w:pPr>
              <w:spacing w:after="40"/>
            </w:pPr>
            <w:r>
              <w:rPr>
                <w:b w:val="0"/>
                <w:i w:val="0"/>
                <w:sz w:val="19"/>
              </w:rPr>
              <w:t>GOV-PRO-09; GOV-TPL-08</w:t>
            </w:r>
          </w:p>
        </w:tc>
        <w:tc>
          <w:tcPr>
            <w:tcW w:type="dxa" w:w="2436"/>
          </w:tcPr>
          <w:p>
            <w:pPr>
              <w:spacing w:after="40"/>
            </w:pPr>
            <w:r>
              <w:rPr>
                <w:b w:val="0"/>
                <w:i w:val="0"/>
                <w:sz w:val="19"/>
              </w:rPr>
              <w:t>Ticket export plus pipeline records per sampled change</w:t>
            </w:r>
          </w:p>
        </w:tc>
      </w:tr>
      <w:tr>
        <w:tc>
          <w:tcPr>
            <w:tcW w:type="dxa" w:w="2436"/>
          </w:tcPr>
          <w:p>
            <w:pPr>
              <w:spacing w:after="40"/>
            </w:pPr>
            <w:r>
              <w:rPr>
                <w:b w:val="0"/>
                <w:i w:val="0"/>
                <w:sz w:val="19"/>
              </w:rPr>
              <w:t>Emergency changes in the period with retrospective approval</w:t>
            </w:r>
          </w:p>
        </w:tc>
        <w:tc>
          <w:tcPr>
            <w:tcW w:type="dxa" w:w="2436"/>
          </w:tcPr>
          <w:p>
            <w:pPr>
              <w:spacing w:after="40"/>
            </w:pPr>
            <w:r>
              <w:rPr>
                <w:b w:val="0"/>
                <w:i w:val="0"/>
                <w:sz w:val="19"/>
              </w:rPr>
              <w:t>CC8.1</w:t>
            </w:r>
          </w:p>
        </w:tc>
        <w:tc>
          <w:tcPr>
            <w:tcW w:type="dxa" w:w="2436"/>
          </w:tcPr>
          <w:p>
            <w:pPr>
              <w:spacing w:after="40"/>
            </w:pPr>
            <w:r>
              <w:rPr>
                <w:b w:val="0"/>
                <w:i w:val="0"/>
                <w:sz w:val="19"/>
              </w:rPr>
              <w:t>GOV-PRO-09; GOV-REG-11</w:t>
            </w:r>
          </w:p>
        </w:tc>
        <w:tc>
          <w:tcPr>
            <w:tcW w:type="dxa" w:w="2436"/>
          </w:tcPr>
          <w:p>
            <w:pPr>
              <w:spacing w:after="40"/>
            </w:pPr>
            <w:r>
              <w:rPr>
                <w:b w:val="0"/>
                <w:i w:val="0"/>
                <w:sz w:val="19"/>
              </w:rPr>
              <w:t>Filtered export with approver and date</w:t>
            </w:r>
          </w:p>
        </w:tc>
      </w:tr>
      <w:tr>
        <w:tc>
          <w:tcPr>
            <w:tcW w:type="dxa" w:w="2436"/>
          </w:tcPr>
          <w:p>
            <w:pPr>
              <w:spacing w:after="40"/>
            </w:pPr>
            <w:r>
              <w:rPr>
                <w:b w:val="0"/>
                <w:i w:val="0"/>
                <w:sz w:val="19"/>
              </w:rPr>
              <w:t>Secure development lifecycle: peer review, static and dependency analysis, secrets scanning</w:t>
            </w:r>
          </w:p>
        </w:tc>
        <w:tc>
          <w:tcPr>
            <w:tcW w:type="dxa" w:w="2436"/>
          </w:tcPr>
          <w:p>
            <w:pPr>
              <w:spacing w:after="40"/>
            </w:pPr>
            <w:r>
              <w:rPr>
                <w:b w:val="0"/>
                <w:i w:val="0"/>
                <w:sz w:val="19"/>
              </w:rPr>
              <w:t>CC8.1, CC7.1</w:t>
            </w:r>
          </w:p>
        </w:tc>
        <w:tc>
          <w:tcPr>
            <w:tcW w:type="dxa" w:w="2436"/>
          </w:tcPr>
          <w:p>
            <w:pPr>
              <w:spacing w:after="40"/>
            </w:pPr>
            <w:r>
              <w:rPr>
                <w:b w:val="0"/>
                <w:i w:val="0"/>
                <w:sz w:val="19"/>
              </w:rPr>
              <w:t>GOV-PRO-15</w:t>
            </w:r>
          </w:p>
        </w:tc>
        <w:tc>
          <w:tcPr>
            <w:tcW w:type="dxa" w:w="2436"/>
          </w:tcPr>
          <w:p>
            <w:pPr>
              <w:spacing w:after="40"/>
            </w:pPr>
            <w:r>
              <w:rPr>
                <w:b w:val="0"/>
                <w:i w:val="0"/>
                <w:sz w:val="19"/>
              </w:rPr>
              <w:t>Repository settings export showing review required; scan results for sampled changes</w:t>
            </w:r>
          </w:p>
        </w:tc>
      </w:tr>
      <w:tr>
        <w:tc>
          <w:tcPr>
            <w:tcW w:type="dxa" w:w="2436"/>
          </w:tcPr>
          <w:p>
            <w:pPr>
              <w:spacing w:after="40"/>
            </w:pPr>
            <w:r>
              <w:rPr>
                <w:b w:val="0"/>
                <w:i w:val="0"/>
                <w:sz w:val="19"/>
              </w:rPr>
              <w:t>Separation of development, test and production, and who can deploy</w:t>
            </w:r>
          </w:p>
        </w:tc>
        <w:tc>
          <w:tcPr>
            <w:tcW w:type="dxa" w:w="2436"/>
          </w:tcPr>
          <w:p>
            <w:pPr>
              <w:spacing w:after="40"/>
            </w:pPr>
            <w:r>
              <w:rPr>
                <w:b w:val="0"/>
                <w:i w:val="0"/>
                <w:sz w:val="19"/>
              </w:rPr>
              <w:t>CC8.1, CC6.3</w:t>
            </w:r>
          </w:p>
        </w:tc>
        <w:tc>
          <w:tcPr>
            <w:tcW w:type="dxa" w:w="2436"/>
          </w:tcPr>
          <w:p>
            <w:pPr>
              <w:spacing w:after="40"/>
            </w:pPr>
            <w:r>
              <w:rPr>
                <w:b w:val="0"/>
                <w:i w:val="0"/>
                <w:sz w:val="19"/>
              </w:rPr>
              <w:t>GOV-PRO-15; GOV-PRO-10</w:t>
            </w:r>
          </w:p>
        </w:tc>
        <w:tc>
          <w:tcPr>
            <w:tcW w:type="dxa" w:w="2436"/>
          </w:tcPr>
          <w:p>
            <w:pPr>
              <w:spacing w:after="40"/>
            </w:pPr>
            <w:r>
              <w:rPr>
                <w:b w:val="0"/>
                <w:i w:val="0"/>
                <w:sz w:val="19"/>
              </w:rPr>
              <w:t>Environment list; export of deployment permissions</w:t>
            </w:r>
          </w:p>
        </w:tc>
      </w:tr>
      <w:tr>
        <w:tc>
          <w:tcPr>
            <w:tcW w:type="dxa" w:w="2436"/>
          </w:tcPr>
          <w:p>
            <w:pPr>
              <w:spacing w:after="40"/>
            </w:pPr>
            <w:r>
              <w:rPr>
                <w:b w:val="0"/>
                <w:i w:val="0"/>
                <w:sz w:val="19"/>
              </w:rPr>
              <w:t>Infrastructure as code or configuration baseline and drift checks</w:t>
            </w:r>
          </w:p>
        </w:tc>
        <w:tc>
          <w:tcPr>
            <w:tcW w:type="dxa" w:w="2436"/>
          </w:tcPr>
          <w:p>
            <w:pPr>
              <w:spacing w:after="40"/>
            </w:pPr>
            <w:r>
              <w:rPr>
                <w:b w:val="0"/>
                <w:i w:val="0"/>
                <w:sz w:val="19"/>
              </w:rPr>
              <w:t>CC5.2, CC7.1</w:t>
            </w:r>
          </w:p>
        </w:tc>
        <w:tc>
          <w:tcPr>
            <w:tcW w:type="dxa" w:w="2436"/>
          </w:tcPr>
          <w:p>
            <w:pPr>
              <w:spacing w:after="40"/>
            </w:pPr>
            <w:r>
              <w:rPr>
                <w:b w:val="0"/>
                <w:i w:val="0"/>
                <w:sz w:val="19"/>
              </w:rPr>
              <w:t>GOV-CHK-02</w:t>
            </w:r>
          </w:p>
        </w:tc>
        <w:tc>
          <w:tcPr>
            <w:tcW w:type="dxa" w:w="2436"/>
          </w:tcPr>
          <w:p>
            <w:pPr>
              <w:spacing w:after="40"/>
            </w:pPr>
            <w:r>
              <w:rPr>
                <w:b w:val="0"/>
                <w:i w:val="0"/>
                <w:sz w:val="19"/>
              </w:rPr>
              <w:t>Baseline document plus drift report for the period</w:t>
            </w:r>
          </w:p>
        </w:tc>
      </w:tr>
      <w:tr>
        <w:tc>
          <w:tcPr>
            <w:tcW w:type="dxa" w:w="2436"/>
          </w:tcPr>
          <w:p>
            <w:pPr>
              <w:spacing w:after="40"/>
            </w:pPr>
            <w:r>
              <w:rPr>
                <w:b w:val="0"/>
                <w:i w:val="0"/>
                <w:sz w:val="19"/>
              </w:rPr>
              <w:t>Processing specifications for in-scope services</w:t>
            </w:r>
          </w:p>
        </w:tc>
        <w:tc>
          <w:tcPr>
            <w:tcW w:type="dxa" w:w="2436"/>
          </w:tcPr>
          <w:p>
            <w:pPr>
              <w:spacing w:after="40"/>
            </w:pPr>
            <w:r>
              <w:rPr>
                <w:b w:val="0"/>
                <w:i w:val="0"/>
                <w:sz w:val="19"/>
              </w:rPr>
              <w:t>PI1.1</w:t>
            </w:r>
          </w:p>
        </w:tc>
        <w:tc>
          <w:tcPr>
            <w:tcW w:type="dxa" w:w="2436"/>
          </w:tcPr>
          <w:p>
            <w:pPr>
              <w:spacing w:after="40"/>
            </w:pPr>
            <w:r>
              <w:rPr>
                <w:b w:val="0"/>
                <w:i w:val="0"/>
                <w:sz w:val="19"/>
              </w:rPr>
              <w:t>SOC-POL-01; SOC-TPL-01</w:t>
            </w:r>
          </w:p>
        </w:tc>
        <w:tc>
          <w:tcPr>
            <w:tcW w:type="dxa" w:w="2436"/>
          </w:tcPr>
          <w:p>
            <w:pPr>
              <w:spacing w:after="40"/>
            </w:pPr>
            <w:r>
              <w:rPr>
                <w:b w:val="0"/>
                <w:i w:val="0"/>
                <w:sz w:val="19"/>
              </w:rPr>
              <w:t>Approved specification with version history</w:t>
            </w:r>
          </w:p>
        </w:tc>
      </w:tr>
      <w:tr>
        <w:tc>
          <w:tcPr>
            <w:tcW w:type="dxa" w:w="2436"/>
          </w:tcPr>
          <w:p>
            <w:pPr>
              <w:spacing w:after="40"/>
            </w:pPr>
            <w:r>
              <w:rPr>
                <w:b w:val="0"/>
                <w:i w:val="0"/>
                <w:sz w:val="19"/>
              </w:rPr>
              <w:t>Input validation rules and quarantine records</w:t>
            </w:r>
          </w:p>
        </w:tc>
        <w:tc>
          <w:tcPr>
            <w:tcW w:type="dxa" w:w="2436"/>
          </w:tcPr>
          <w:p>
            <w:pPr>
              <w:spacing w:after="40"/>
            </w:pPr>
            <w:r>
              <w:rPr>
                <w:b w:val="0"/>
                <w:i w:val="0"/>
                <w:sz w:val="19"/>
              </w:rPr>
              <w:t>PI1.2</w:t>
            </w:r>
          </w:p>
        </w:tc>
        <w:tc>
          <w:tcPr>
            <w:tcW w:type="dxa" w:w="2436"/>
          </w:tcPr>
          <w:p>
            <w:pPr>
              <w:spacing w:after="40"/>
            </w:pPr>
            <w:r>
              <w:rPr>
                <w:b w:val="0"/>
                <w:i w:val="0"/>
                <w:sz w:val="19"/>
              </w:rPr>
              <w:t>SOC-PRO-03</w:t>
            </w:r>
          </w:p>
        </w:tc>
        <w:tc>
          <w:tcPr>
            <w:tcW w:type="dxa" w:w="2436"/>
          </w:tcPr>
          <w:p>
            <w:pPr>
              <w:spacing w:after="40"/>
            </w:pPr>
            <w:r>
              <w:rPr>
                <w:b w:val="0"/>
                <w:i w:val="0"/>
                <w:sz w:val="19"/>
              </w:rPr>
              <w:t>Catalogue extract; quarantine export for the period</w:t>
            </w:r>
          </w:p>
        </w:tc>
      </w:tr>
      <w:tr>
        <w:tc>
          <w:tcPr>
            <w:tcW w:type="dxa" w:w="2436"/>
          </w:tcPr>
          <w:p>
            <w:pPr>
              <w:spacing w:after="40"/>
            </w:pPr>
            <w:r>
              <w:rPr>
                <w:b w:val="0"/>
                <w:i w:val="0"/>
                <w:sz w:val="19"/>
              </w:rPr>
              <w:t>Daily reconciliation records</w:t>
            </w:r>
          </w:p>
        </w:tc>
        <w:tc>
          <w:tcPr>
            <w:tcW w:type="dxa" w:w="2436"/>
          </w:tcPr>
          <w:p>
            <w:pPr>
              <w:spacing w:after="40"/>
            </w:pPr>
            <w:r>
              <w:rPr>
                <w:b w:val="0"/>
                <w:i w:val="0"/>
                <w:sz w:val="19"/>
              </w:rPr>
              <w:t>PI1.3</w:t>
            </w:r>
          </w:p>
        </w:tc>
        <w:tc>
          <w:tcPr>
            <w:tcW w:type="dxa" w:w="2436"/>
          </w:tcPr>
          <w:p>
            <w:pPr>
              <w:spacing w:after="40"/>
            </w:pPr>
            <w:r>
              <w:rPr>
                <w:b w:val="0"/>
                <w:i w:val="0"/>
                <w:sz w:val="19"/>
              </w:rPr>
              <w:t>SOC-PRO-03</w:t>
            </w:r>
          </w:p>
        </w:tc>
        <w:tc>
          <w:tcPr>
            <w:tcW w:type="dxa" w:w="2436"/>
          </w:tcPr>
          <w:p>
            <w:pPr>
              <w:spacing w:after="40"/>
            </w:pPr>
            <w:r>
              <w:rPr>
                <w:b w:val="0"/>
                <w:i w:val="0"/>
                <w:sz w:val="19"/>
              </w:rPr>
              <w:t>Export of reconciliations with preparer and reviewer; this is a daily population</w:t>
            </w:r>
          </w:p>
        </w:tc>
      </w:tr>
      <w:tr>
        <w:tc>
          <w:tcPr>
            <w:tcW w:type="dxa" w:w="2436"/>
          </w:tcPr>
          <w:p>
            <w:pPr>
              <w:spacing w:after="40"/>
            </w:pPr>
            <w:r>
              <w:rPr>
                <w:b w:val="0"/>
                <w:i w:val="0"/>
                <w:sz w:val="19"/>
              </w:rPr>
              <w:t>Output completeness, accuracy and delivery records</w:t>
            </w:r>
          </w:p>
        </w:tc>
        <w:tc>
          <w:tcPr>
            <w:tcW w:type="dxa" w:w="2436"/>
          </w:tcPr>
          <w:p>
            <w:pPr>
              <w:spacing w:after="40"/>
            </w:pPr>
            <w:r>
              <w:rPr>
                <w:b w:val="0"/>
                <w:i w:val="0"/>
                <w:sz w:val="19"/>
              </w:rPr>
              <w:t>PI1.4</w:t>
            </w:r>
          </w:p>
        </w:tc>
        <w:tc>
          <w:tcPr>
            <w:tcW w:type="dxa" w:w="2436"/>
          </w:tcPr>
          <w:p>
            <w:pPr>
              <w:spacing w:after="40"/>
            </w:pPr>
            <w:r>
              <w:rPr>
                <w:b w:val="0"/>
                <w:i w:val="0"/>
                <w:sz w:val="19"/>
              </w:rPr>
              <w:t>SOC-PRO-04</w:t>
            </w:r>
          </w:p>
        </w:tc>
        <w:tc>
          <w:tcPr>
            <w:tcW w:type="dxa" w:w="2436"/>
          </w:tcPr>
          <w:p>
            <w:pPr>
              <w:spacing w:after="40"/>
            </w:pPr>
            <w:r>
              <w:rPr>
                <w:b w:val="0"/>
                <w:i w:val="0"/>
                <w:sz w:val="19"/>
              </w:rPr>
              <w:t>Job monitor export; delivery logs; sample verification records</w:t>
            </w:r>
          </w:p>
        </w:tc>
      </w:tr>
      <w:tr>
        <w:tc>
          <w:tcPr>
            <w:tcW w:type="dxa" w:w="2436"/>
          </w:tcPr>
          <w:p>
            <w:pPr>
              <w:spacing w:after="40"/>
            </w:pPr>
            <w:r>
              <w:rPr>
                <w:b w:val="0"/>
                <w:i w:val="0"/>
                <w:sz w:val="19"/>
              </w:rPr>
              <w:t>Storage integrity verification and reissue records</w:t>
            </w:r>
          </w:p>
        </w:tc>
        <w:tc>
          <w:tcPr>
            <w:tcW w:type="dxa" w:w="2436"/>
          </w:tcPr>
          <w:p>
            <w:pPr>
              <w:spacing w:after="40"/>
            </w:pPr>
            <w:r>
              <w:rPr>
                <w:b w:val="0"/>
                <w:i w:val="0"/>
                <w:sz w:val="19"/>
              </w:rPr>
              <w:t>PI1.5</w:t>
            </w:r>
          </w:p>
        </w:tc>
        <w:tc>
          <w:tcPr>
            <w:tcW w:type="dxa" w:w="2436"/>
          </w:tcPr>
          <w:p>
            <w:pPr>
              <w:spacing w:after="40"/>
            </w:pPr>
            <w:r>
              <w:rPr>
                <w:b w:val="0"/>
                <w:i w:val="0"/>
                <w:sz w:val="19"/>
              </w:rPr>
              <w:t>SOC-PRO-04</w:t>
            </w:r>
          </w:p>
        </w:tc>
        <w:tc>
          <w:tcPr>
            <w:tcW w:type="dxa" w:w="2436"/>
          </w:tcPr>
          <w:p>
            <w:pPr>
              <w:spacing w:after="40"/>
            </w:pPr>
            <w:r>
              <w:rPr>
                <w:b w:val="0"/>
                <w:i w:val="0"/>
                <w:sz w:val="19"/>
              </w:rPr>
              <w:t>Verification results; processing error log</w:t>
            </w:r>
          </w:p>
        </w:tc>
      </w:tr>
      <w:tr>
        <w:tc>
          <w:tcPr>
            <w:tcW w:type="dxa" w:w="2436"/>
          </w:tcPr>
          <w:p>
            <w:pPr>
              <w:spacing w:after="40"/>
            </w:pPr>
            <w:r>
              <w:rPr>
                <w:b w:val="0"/>
                <w:i w:val="0"/>
                <w:sz w:val="19"/>
              </w:rPr>
              <w:t>Open source licence check for the period</w:t>
            </w:r>
          </w:p>
        </w:tc>
        <w:tc>
          <w:tcPr>
            <w:tcW w:type="dxa" w:w="2436"/>
          </w:tcPr>
          <w:p>
            <w:pPr>
              <w:spacing w:after="40"/>
            </w:pPr>
            <w:r>
              <w:rPr>
                <w:b w:val="0"/>
                <w:i w:val="0"/>
                <w:sz w:val="19"/>
              </w:rPr>
              <w:t>CC2.3</w:t>
            </w:r>
          </w:p>
        </w:tc>
        <w:tc>
          <w:tcPr>
            <w:tcW w:type="dxa" w:w="2436"/>
          </w:tcPr>
          <w:p>
            <w:pPr>
              <w:spacing w:after="40"/>
            </w:pPr>
            <w:r>
              <w:rPr>
                <w:b w:val="0"/>
                <w:i w:val="0"/>
                <w:sz w:val="19"/>
              </w:rPr>
              <w:t>GOV-PRO-15</w:t>
            </w:r>
          </w:p>
        </w:tc>
        <w:tc>
          <w:tcPr>
            <w:tcW w:type="dxa" w:w="2436"/>
          </w:tcPr>
          <w:p>
            <w:pPr>
              <w:spacing w:after="40"/>
            </w:pPr>
            <w:r>
              <w:rPr>
                <w:b w:val="0"/>
                <w:i w:val="0"/>
                <w:sz w:val="19"/>
              </w:rPr>
              <w:t>Licence scan output</w:t>
            </w:r>
          </w:p>
        </w:tc>
      </w:tr>
    </w:tbl>
    <w:p/>
    <w:p>
      <w:pPr>
        <w:pStyle w:val="Heading1"/>
      </w:pPr>
      <w:r>
        <w:t>4. IT and operations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Request</w:t>
            </w:r>
          </w:p>
        </w:tc>
        <w:tc>
          <w:tcPr>
            <w:tcW w:type="dxa" w:w="2436"/>
            <w:shd w:val="clear" w:color="auto" w:fill="EEF3F8"/>
          </w:tcPr>
          <w:p>
            <w:pPr>
              <w:spacing w:after="40"/>
            </w:pPr>
            <w:r>
              <w:rPr>
                <w:b/>
                <w:i w:val="0"/>
                <w:sz w:val="19"/>
              </w:rPr>
              <w:t>Criteria</w:t>
            </w:r>
          </w:p>
        </w:tc>
        <w:tc>
          <w:tcPr>
            <w:tcW w:type="dxa" w:w="2436"/>
            <w:shd w:val="clear" w:color="auto" w:fill="EEF3F8"/>
          </w:tcPr>
          <w:p>
            <w:pPr>
              <w:spacing w:after="40"/>
            </w:pPr>
            <w:r>
              <w:rPr>
                <w:b/>
                <w:i w:val="0"/>
                <w:sz w:val="19"/>
              </w:rPr>
              <w:t>Kit source</w:t>
            </w:r>
          </w:p>
        </w:tc>
        <w:tc>
          <w:tcPr>
            <w:tcW w:type="dxa" w:w="2436"/>
            <w:shd w:val="clear" w:color="auto" w:fill="EEF3F8"/>
          </w:tcPr>
          <w:p>
            <w:pPr>
              <w:spacing w:after="40"/>
            </w:pPr>
            <w:r>
              <w:rPr>
                <w:b/>
                <w:i w:val="0"/>
                <w:sz w:val="19"/>
              </w:rPr>
              <w:t>Deliver as</w:t>
            </w:r>
          </w:p>
        </w:tc>
      </w:tr>
      <w:tr>
        <w:tc>
          <w:tcPr>
            <w:tcW w:type="dxa" w:w="2436"/>
          </w:tcPr>
          <w:p>
            <w:pPr>
              <w:spacing w:after="40"/>
            </w:pPr>
            <w:r>
              <w:rPr>
                <w:b w:val="0"/>
                <w:i w:val="0"/>
                <w:sz w:val="19"/>
              </w:rPr>
              <w:t>List of in-scope systems and their owners</w:t>
            </w:r>
          </w:p>
        </w:tc>
        <w:tc>
          <w:tcPr>
            <w:tcW w:type="dxa" w:w="2436"/>
          </w:tcPr>
          <w:p>
            <w:pPr>
              <w:spacing w:after="40"/>
            </w:pPr>
            <w:r>
              <w:rPr>
                <w:b w:val="0"/>
                <w:i w:val="0"/>
                <w:sz w:val="19"/>
              </w:rPr>
              <w:t>CC6.1, CC5.2</w:t>
            </w:r>
          </w:p>
        </w:tc>
        <w:tc>
          <w:tcPr>
            <w:tcW w:type="dxa" w:w="2436"/>
          </w:tcPr>
          <w:p>
            <w:pPr>
              <w:spacing w:after="40"/>
            </w:pPr>
            <w:r>
              <w:rPr>
                <w:b w:val="0"/>
                <w:i w:val="0"/>
                <w:sz w:val="19"/>
              </w:rPr>
              <w:t>GOV-REG-10; GOV-REG-24</w:t>
            </w:r>
          </w:p>
        </w:tc>
        <w:tc>
          <w:tcPr>
            <w:tcW w:type="dxa" w:w="2436"/>
          </w:tcPr>
          <w:p>
            <w:pPr>
              <w:spacing w:after="40"/>
            </w:pPr>
            <w:r>
              <w:rPr>
                <w:b w:val="0"/>
                <w:i w:val="0"/>
                <w:sz w:val="19"/>
              </w:rPr>
              <w:t>Asset register export; must match SOC-TPL-01 section 4</w:t>
            </w:r>
          </w:p>
        </w:tc>
      </w:tr>
      <w:tr>
        <w:tc>
          <w:tcPr>
            <w:tcW w:type="dxa" w:w="2436"/>
          </w:tcPr>
          <w:p>
            <w:pPr>
              <w:spacing w:after="40"/>
            </w:pPr>
            <w:r>
              <w:rPr>
                <w:b w:val="0"/>
                <w:i w:val="0"/>
                <w:sz w:val="19"/>
              </w:rPr>
              <w:t>User lists for every in-scope system at period start and end</w:t>
            </w:r>
          </w:p>
        </w:tc>
        <w:tc>
          <w:tcPr>
            <w:tcW w:type="dxa" w:w="2436"/>
          </w:tcPr>
          <w:p>
            <w:pPr>
              <w:spacing w:after="40"/>
            </w:pPr>
            <w:r>
              <w:rPr>
                <w:b w:val="0"/>
                <w:i w:val="0"/>
                <w:sz w:val="19"/>
              </w:rPr>
              <w:t>CC6.1, CC6.2, CC6.3</w:t>
            </w:r>
          </w:p>
        </w:tc>
        <w:tc>
          <w:tcPr>
            <w:tcW w:type="dxa" w:w="2436"/>
          </w:tcPr>
          <w:p>
            <w:pPr>
              <w:spacing w:after="40"/>
            </w:pPr>
            <w:r>
              <w:rPr>
                <w:b w:val="0"/>
                <w:i w:val="0"/>
                <w:sz w:val="19"/>
              </w:rPr>
              <w:t>GOV-PRO-10</w:t>
            </w:r>
          </w:p>
        </w:tc>
        <w:tc>
          <w:tcPr>
            <w:tcW w:type="dxa" w:w="2436"/>
          </w:tcPr>
          <w:p>
            <w:pPr>
              <w:spacing w:after="40"/>
            </w:pPr>
            <w:r>
              <w:rPr>
                <w:b w:val="0"/>
                <w:i w:val="0"/>
                <w:sz w:val="19"/>
              </w:rPr>
              <w:t>Export per system with role and last sign-in</w:t>
            </w:r>
          </w:p>
        </w:tc>
      </w:tr>
      <w:tr>
        <w:tc>
          <w:tcPr>
            <w:tcW w:type="dxa" w:w="2436"/>
          </w:tcPr>
          <w:p>
            <w:pPr>
              <w:spacing w:after="40"/>
            </w:pPr>
            <w:r>
              <w:rPr>
                <w:b w:val="0"/>
                <w:i w:val="0"/>
                <w:sz w:val="19"/>
              </w:rPr>
              <w:t>Access requests and approvals for sampled new accounts</w:t>
            </w:r>
          </w:p>
        </w:tc>
        <w:tc>
          <w:tcPr>
            <w:tcW w:type="dxa" w:w="2436"/>
          </w:tcPr>
          <w:p>
            <w:pPr>
              <w:spacing w:after="40"/>
            </w:pPr>
            <w:r>
              <w:rPr>
                <w:b w:val="0"/>
                <w:i w:val="0"/>
                <w:sz w:val="19"/>
              </w:rPr>
              <w:t>CC6.2</w:t>
            </w:r>
          </w:p>
        </w:tc>
        <w:tc>
          <w:tcPr>
            <w:tcW w:type="dxa" w:w="2436"/>
          </w:tcPr>
          <w:p>
            <w:pPr>
              <w:spacing w:after="40"/>
            </w:pPr>
            <w:r>
              <w:rPr>
                <w:b w:val="0"/>
                <w:i w:val="0"/>
                <w:sz w:val="19"/>
              </w:rPr>
              <w:t>GOV-TPL-09; ticketing</w:t>
            </w:r>
          </w:p>
        </w:tc>
        <w:tc>
          <w:tcPr>
            <w:tcW w:type="dxa" w:w="2436"/>
          </w:tcPr>
          <w:p>
            <w:pPr>
              <w:spacing w:after="40"/>
            </w:pPr>
            <w:r>
              <w:rPr>
                <w:b w:val="0"/>
                <w:i w:val="0"/>
                <w:sz w:val="19"/>
              </w:rPr>
              <w:t>Approved request per sampled account, dated before provisioning</w:t>
            </w:r>
          </w:p>
        </w:tc>
      </w:tr>
      <w:tr>
        <w:tc>
          <w:tcPr>
            <w:tcW w:type="dxa" w:w="2436"/>
          </w:tcPr>
          <w:p>
            <w:pPr>
              <w:spacing w:after="40"/>
            </w:pPr>
            <w:r>
              <w:rPr>
                <w:b w:val="0"/>
                <w:i w:val="0"/>
                <w:sz w:val="19"/>
              </w:rPr>
              <w:t>Removal of access for sampled leavers within the policy window</w:t>
            </w:r>
          </w:p>
        </w:tc>
        <w:tc>
          <w:tcPr>
            <w:tcW w:type="dxa" w:w="2436"/>
          </w:tcPr>
          <w:p>
            <w:pPr>
              <w:spacing w:after="40"/>
            </w:pPr>
            <w:r>
              <w:rPr>
                <w:b w:val="0"/>
                <w:i w:val="0"/>
                <w:sz w:val="19"/>
              </w:rPr>
              <w:t>CC6.2, CC6.3</w:t>
            </w:r>
          </w:p>
        </w:tc>
        <w:tc>
          <w:tcPr>
            <w:tcW w:type="dxa" w:w="2436"/>
          </w:tcPr>
          <w:p>
            <w:pPr>
              <w:spacing w:after="40"/>
            </w:pPr>
            <w:r>
              <w:rPr>
                <w:b w:val="0"/>
                <w:i w:val="0"/>
                <w:sz w:val="19"/>
              </w:rPr>
              <w:t>GOV-PRO-10; GOV-CHK-01</w:t>
            </w:r>
          </w:p>
        </w:tc>
        <w:tc>
          <w:tcPr>
            <w:tcW w:type="dxa" w:w="2436"/>
          </w:tcPr>
          <w:p>
            <w:pPr>
              <w:spacing w:after="40"/>
            </w:pPr>
            <w:r>
              <w:rPr>
                <w:b w:val="0"/>
                <w:i w:val="0"/>
                <w:sz w:val="19"/>
              </w:rPr>
              <w:t>Identity provider disable event with timestamp per leaver</w:t>
            </w:r>
          </w:p>
        </w:tc>
      </w:tr>
      <w:tr>
        <w:tc>
          <w:tcPr>
            <w:tcW w:type="dxa" w:w="2436"/>
          </w:tcPr>
          <w:p>
            <w:pPr>
              <w:spacing w:after="40"/>
            </w:pPr>
            <w:r>
              <w:rPr>
                <w:b w:val="0"/>
                <w:i w:val="0"/>
                <w:sz w:val="19"/>
              </w:rPr>
              <w:t>Quarterly access reviews for the period</w:t>
            </w:r>
          </w:p>
        </w:tc>
        <w:tc>
          <w:tcPr>
            <w:tcW w:type="dxa" w:w="2436"/>
          </w:tcPr>
          <w:p>
            <w:pPr>
              <w:spacing w:after="40"/>
            </w:pPr>
            <w:r>
              <w:rPr>
                <w:b w:val="0"/>
                <w:i w:val="0"/>
                <w:sz w:val="19"/>
              </w:rPr>
              <w:t>CC6.2, CC6.3</w:t>
            </w:r>
          </w:p>
        </w:tc>
        <w:tc>
          <w:tcPr>
            <w:tcW w:type="dxa" w:w="2436"/>
          </w:tcPr>
          <w:p>
            <w:pPr>
              <w:spacing w:after="40"/>
            </w:pPr>
            <w:r>
              <w:rPr>
                <w:b w:val="0"/>
                <w:i w:val="0"/>
                <w:sz w:val="19"/>
              </w:rPr>
              <w:t>GOV-REG-12</w:t>
            </w:r>
          </w:p>
        </w:tc>
        <w:tc>
          <w:tcPr>
            <w:tcW w:type="dxa" w:w="2436"/>
          </w:tcPr>
          <w:p>
            <w:pPr>
              <w:spacing w:after="40"/>
            </w:pPr>
            <w:r>
              <w:rPr>
                <w:b w:val="0"/>
                <w:i w:val="0"/>
                <w:sz w:val="19"/>
              </w:rPr>
              <w:t>Review export per quarter with reviewer, decisions and removals actioned</w:t>
            </w:r>
          </w:p>
        </w:tc>
      </w:tr>
      <w:tr>
        <w:tc>
          <w:tcPr>
            <w:tcW w:type="dxa" w:w="2436"/>
          </w:tcPr>
          <w:p>
            <w:pPr>
              <w:spacing w:after="40"/>
            </w:pPr>
            <w:r>
              <w:rPr>
                <w:b w:val="0"/>
                <w:i w:val="0"/>
                <w:sz w:val="19"/>
              </w:rPr>
              <w:t>Privileged account inventory and multi-factor status</w:t>
            </w:r>
          </w:p>
        </w:tc>
        <w:tc>
          <w:tcPr>
            <w:tcW w:type="dxa" w:w="2436"/>
          </w:tcPr>
          <w:p>
            <w:pPr>
              <w:spacing w:after="40"/>
            </w:pPr>
            <w:r>
              <w:rPr>
                <w:b w:val="0"/>
                <w:i w:val="0"/>
                <w:sz w:val="19"/>
              </w:rPr>
              <w:t>CC6.1, CC6.3</w:t>
            </w:r>
          </w:p>
        </w:tc>
        <w:tc>
          <w:tcPr>
            <w:tcW w:type="dxa" w:w="2436"/>
          </w:tcPr>
          <w:p>
            <w:pPr>
              <w:spacing w:after="40"/>
            </w:pPr>
            <w:r>
              <w:rPr>
                <w:b w:val="0"/>
                <w:i w:val="0"/>
                <w:sz w:val="19"/>
              </w:rPr>
              <w:t>GOV-REG-13; GOV-POL-06</w:t>
            </w:r>
          </w:p>
        </w:tc>
        <w:tc>
          <w:tcPr>
            <w:tcW w:type="dxa" w:w="2436"/>
          </w:tcPr>
          <w:p>
            <w:pPr>
              <w:spacing w:after="40"/>
            </w:pPr>
            <w:r>
              <w:rPr>
                <w:b w:val="0"/>
                <w:i w:val="0"/>
                <w:sz w:val="19"/>
              </w:rPr>
              <w:t>Export; configuration export of the multi-factor policy</w:t>
            </w:r>
          </w:p>
        </w:tc>
      </w:tr>
      <w:tr>
        <w:tc>
          <w:tcPr>
            <w:tcW w:type="dxa" w:w="2436"/>
          </w:tcPr>
          <w:p>
            <w:pPr>
              <w:spacing w:after="40"/>
            </w:pPr>
            <w:r>
              <w:rPr>
                <w:b w:val="0"/>
                <w:i w:val="0"/>
                <w:sz w:val="19"/>
              </w:rPr>
              <w:t>Authentication configuration: password rules, lockout, session timeout</w:t>
            </w:r>
          </w:p>
        </w:tc>
        <w:tc>
          <w:tcPr>
            <w:tcW w:type="dxa" w:w="2436"/>
          </w:tcPr>
          <w:p>
            <w:pPr>
              <w:spacing w:after="40"/>
            </w:pPr>
            <w:r>
              <w:rPr>
                <w:b w:val="0"/>
                <w:i w:val="0"/>
                <w:sz w:val="19"/>
              </w:rPr>
              <w:t>CC6.1</w:t>
            </w:r>
          </w:p>
        </w:tc>
        <w:tc>
          <w:tcPr>
            <w:tcW w:type="dxa" w:w="2436"/>
          </w:tcPr>
          <w:p>
            <w:pPr>
              <w:spacing w:after="40"/>
            </w:pPr>
            <w:r>
              <w:rPr>
                <w:b w:val="0"/>
                <w:i w:val="0"/>
                <w:sz w:val="19"/>
              </w:rPr>
              <w:t>GOV-POL-06</w:t>
            </w:r>
          </w:p>
        </w:tc>
        <w:tc>
          <w:tcPr>
            <w:tcW w:type="dxa" w:w="2436"/>
          </w:tcPr>
          <w:p>
            <w:pPr>
              <w:spacing w:after="40"/>
            </w:pPr>
            <w:r>
              <w:rPr>
                <w:b w:val="0"/>
                <w:i w:val="0"/>
                <w:sz w:val="19"/>
              </w:rPr>
              <w:t>Configuration export per system with date</w:t>
            </w:r>
          </w:p>
        </w:tc>
      </w:tr>
      <w:tr>
        <w:tc>
          <w:tcPr>
            <w:tcW w:type="dxa" w:w="2436"/>
          </w:tcPr>
          <w:p>
            <w:pPr>
              <w:spacing w:after="40"/>
            </w:pPr>
            <w:r>
              <w:rPr>
                <w:b w:val="0"/>
                <w:i w:val="0"/>
                <w:sz w:val="19"/>
              </w:rPr>
              <w:t>Encryption in transit and at rest settings</w:t>
            </w:r>
          </w:p>
        </w:tc>
        <w:tc>
          <w:tcPr>
            <w:tcW w:type="dxa" w:w="2436"/>
          </w:tcPr>
          <w:p>
            <w:pPr>
              <w:spacing w:after="40"/>
            </w:pPr>
            <w:r>
              <w:rPr>
                <w:b w:val="0"/>
                <w:i w:val="0"/>
                <w:sz w:val="19"/>
              </w:rPr>
              <w:t>CC6.1, CC6.7</w:t>
            </w:r>
          </w:p>
        </w:tc>
        <w:tc>
          <w:tcPr>
            <w:tcW w:type="dxa" w:w="2436"/>
          </w:tcPr>
          <w:p>
            <w:pPr>
              <w:spacing w:after="40"/>
            </w:pPr>
            <w:r>
              <w:rPr>
                <w:b w:val="0"/>
                <w:i w:val="0"/>
                <w:sz w:val="19"/>
              </w:rPr>
              <w:t>GOV-PRO-20; GOV-REG-18</w:t>
            </w:r>
          </w:p>
        </w:tc>
        <w:tc>
          <w:tcPr>
            <w:tcW w:type="dxa" w:w="2436"/>
          </w:tcPr>
          <w:p>
            <w:pPr>
              <w:spacing w:after="40"/>
            </w:pPr>
            <w:r>
              <w:rPr>
                <w:b w:val="0"/>
                <w:i w:val="0"/>
                <w:sz w:val="19"/>
              </w:rPr>
              <w:t>Configuration exports; certificate inventory</w:t>
            </w:r>
          </w:p>
        </w:tc>
      </w:tr>
      <w:tr>
        <w:tc>
          <w:tcPr>
            <w:tcW w:type="dxa" w:w="2436"/>
          </w:tcPr>
          <w:p>
            <w:pPr>
              <w:spacing w:after="40"/>
            </w:pPr>
            <w:r>
              <w:rPr>
                <w:b w:val="0"/>
                <w:i w:val="0"/>
                <w:sz w:val="19"/>
              </w:rPr>
              <w:t>Network and firewall rules, remote access configuration</w:t>
            </w:r>
          </w:p>
        </w:tc>
        <w:tc>
          <w:tcPr>
            <w:tcW w:type="dxa" w:w="2436"/>
          </w:tcPr>
          <w:p>
            <w:pPr>
              <w:spacing w:after="40"/>
            </w:pPr>
            <w:r>
              <w:rPr>
                <w:b w:val="0"/>
                <w:i w:val="0"/>
                <w:sz w:val="19"/>
              </w:rPr>
              <w:t>CC6.6</w:t>
            </w:r>
          </w:p>
        </w:tc>
        <w:tc>
          <w:tcPr>
            <w:tcW w:type="dxa" w:w="2436"/>
          </w:tcPr>
          <w:p>
            <w:pPr>
              <w:spacing w:after="40"/>
            </w:pPr>
            <w:r>
              <w:rPr>
                <w:b w:val="0"/>
                <w:i w:val="0"/>
                <w:sz w:val="19"/>
              </w:rPr>
              <w:t>GOV-PRO-21</w:t>
            </w:r>
          </w:p>
        </w:tc>
        <w:tc>
          <w:tcPr>
            <w:tcW w:type="dxa" w:w="2436"/>
          </w:tcPr>
          <w:p>
            <w:pPr>
              <w:spacing w:after="40"/>
            </w:pPr>
            <w:r>
              <w:rPr>
                <w:b w:val="0"/>
                <w:i w:val="0"/>
                <w:sz w:val="19"/>
              </w:rPr>
              <w:t>Rule export with last review date</w:t>
            </w:r>
          </w:p>
        </w:tc>
      </w:tr>
      <w:tr>
        <w:tc>
          <w:tcPr>
            <w:tcW w:type="dxa" w:w="2436"/>
          </w:tcPr>
          <w:p>
            <w:pPr>
              <w:spacing w:after="40"/>
            </w:pPr>
            <w:r>
              <w:rPr>
                <w:b w:val="0"/>
                <w:i w:val="0"/>
                <w:sz w:val="19"/>
              </w:rPr>
              <w:t>Endpoint management: encryption, malware protection, update status</w:t>
            </w:r>
          </w:p>
        </w:tc>
        <w:tc>
          <w:tcPr>
            <w:tcW w:type="dxa" w:w="2436"/>
          </w:tcPr>
          <w:p>
            <w:pPr>
              <w:spacing w:after="40"/>
            </w:pPr>
            <w:r>
              <w:rPr>
                <w:b w:val="0"/>
                <w:i w:val="0"/>
                <w:sz w:val="19"/>
              </w:rPr>
              <w:t>CC6.8, CC7.1</w:t>
            </w:r>
          </w:p>
        </w:tc>
        <w:tc>
          <w:tcPr>
            <w:tcW w:type="dxa" w:w="2436"/>
          </w:tcPr>
          <w:p>
            <w:pPr>
              <w:spacing w:after="40"/>
            </w:pPr>
            <w:r>
              <w:rPr>
                <w:b w:val="0"/>
                <w:i w:val="0"/>
                <w:sz w:val="19"/>
              </w:rPr>
              <w:t>GOV-PRO-22; GOV-CHK-02</w:t>
            </w:r>
          </w:p>
        </w:tc>
        <w:tc>
          <w:tcPr>
            <w:tcW w:type="dxa" w:w="2436"/>
          </w:tcPr>
          <w:p>
            <w:pPr>
              <w:spacing w:after="40"/>
            </w:pPr>
            <w:r>
              <w:rPr>
                <w:b w:val="0"/>
                <w:i w:val="0"/>
                <w:sz w:val="19"/>
              </w:rPr>
              <w:t>Device compliance export covering all devices</w:t>
            </w:r>
          </w:p>
        </w:tc>
      </w:tr>
      <w:tr>
        <w:tc>
          <w:tcPr>
            <w:tcW w:type="dxa" w:w="2436"/>
          </w:tcPr>
          <w:p>
            <w:pPr>
              <w:spacing w:after="40"/>
            </w:pPr>
            <w:r>
              <w:rPr>
                <w:b w:val="0"/>
                <w:i w:val="0"/>
                <w:sz w:val="19"/>
              </w:rPr>
              <w:t>Vulnerability scans for the period and remediation within SLA</w:t>
            </w:r>
          </w:p>
        </w:tc>
        <w:tc>
          <w:tcPr>
            <w:tcW w:type="dxa" w:w="2436"/>
          </w:tcPr>
          <w:p>
            <w:pPr>
              <w:spacing w:after="40"/>
            </w:pPr>
            <w:r>
              <w:rPr>
                <w:b w:val="0"/>
                <w:i w:val="0"/>
                <w:sz w:val="19"/>
              </w:rPr>
              <w:t>CC7.1</w:t>
            </w:r>
          </w:p>
        </w:tc>
        <w:tc>
          <w:tcPr>
            <w:tcW w:type="dxa" w:w="2436"/>
          </w:tcPr>
          <w:p>
            <w:pPr>
              <w:spacing w:after="40"/>
            </w:pPr>
            <w:r>
              <w:rPr>
                <w:b w:val="0"/>
                <w:i w:val="0"/>
                <w:sz w:val="19"/>
              </w:rPr>
              <w:t>GOV-PRO-11; GOV-REG-14</w:t>
            </w:r>
          </w:p>
        </w:tc>
        <w:tc>
          <w:tcPr>
            <w:tcW w:type="dxa" w:w="2436"/>
          </w:tcPr>
          <w:p>
            <w:pPr>
              <w:spacing w:after="40"/>
            </w:pPr>
            <w:r>
              <w:rPr>
                <w:b w:val="0"/>
                <w:i w:val="0"/>
                <w:sz w:val="19"/>
              </w:rPr>
              <w:t>Scan exports per cycle; register showing found, due and fixed dates</w:t>
            </w:r>
          </w:p>
        </w:tc>
      </w:tr>
      <w:tr>
        <w:tc>
          <w:tcPr>
            <w:tcW w:type="dxa" w:w="2436"/>
          </w:tcPr>
          <w:p>
            <w:pPr>
              <w:spacing w:after="40"/>
            </w:pPr>
            <w:r>
              <w:rPr>
                <w:b w:val="0"/>
                <w:i w:val="0"/>
                <w:sz w:val="19"/>
              </w:rPr>
              <w:t>Penetration test report and remediation tracking</w:t>
            </w:r>
          </w:p>
        </w:tc>
        <w:tc>
          <w:tcPr>
            <w:tcW w:type="dxa" w:w="2436"/>
          </w:tcPr>
          <w:p>
            <w:pPr>
              <w:spacing w:after="40"/>
            </w:pPr>
            <w:r>
              <w:rPr>
                <w:b w:val="0"/>
                <w:i w:val="0"/>
                <w:sz w:val="19"/>
              </w:rPr>
              <w:t>CC7.1, CC4.1</w:t>
            </w:r>
          </w:p>
        </w:tc>
        <w:tc>
          <w:tcPr>
            <w:tcW w:type="dxa" w:w="2436"/>
          </w:tcPr>
          <w:p>
            <w:pPr>
              <w:spacing w:after="40"/>
            </w:pPr>
            <w:r>
              <w:rPr>
                <w:b w:val="0"/>
                <w:i w:val="0"/>
                <w:sz w:val="19"/>
              </w:rPr>
              <w:t>GOV-PRO-11; GOV-REG-14</w:t>
            </w:r>
          </w:p>
        </w:tc>
        <w:tc>
          <w:tcPr>
            <w:tcW w:type="dxa" w:w="2436"/>
          </w:tcPr>
          <w:p>
            <w:pPr>
              <w:spacing w:after="40"/>
            </w:pPr>
            <w:r>
              <w:rPr>
                <w:b w:val="0"/>
                <w:i w:val="0"/>
                <w:sz w:val="19"/>
              </w:rPr>
              <w:t>Report summary; register rows for findings</w:t>
            </w:r>
          </w:p>
        </w:tc>
      </w:tr>
      <w:tr>
        <w:tc>
          <w:tcPr>
            <w:tcW w:type="dxa" w:w="2436"/>
          </w:tcPr>
          <w:p>
            <w:pPr>
              <w:spacing w:after="40"/>
            </w:pPr>
            <w:r>
              <w:rPr>
                <w:b w:val="0"/>
                <w:i w:val="0"/>
                <w:sz w:val="19"/>
              </w:rPr>
              <w:t>Logging configuration, retention and clock synchronisation</w:t>
            </w:r>
          </w:p>
        </w:tc>
        <w:tc>
          <w:tcPr>
            <w:tcW w:type="dxa" w:w="2436"/>
          </w:tcPr>
          <w:p>
            <w:pPr>
              <w:spacing w:after="40"/>
            </w:pPr>
            <w:r>
              <w:rPr>
                <w:b w:val="0"/>
                <w:i w:val="0"/>
                <w:sz w:val="19"/>
              </w:rPr>
              <w:t>CC7.2</w:t>
            </w:r>
          </w:p>
        </w:tc>
        <w:tc>
          <w:tcPr>
            <w:tcW w:type="dxa" w:w="2436"/>
          </w:tcPr>
          <w:p>
            <w:pPr>
              <w:spacing w:after="40"/>
            </w:pPr>
            <w:r>
              <w:rPr>
                <w:b w:val="0"/>
                <w:i w:val="0"/>
                <w:sz w:val="19"/>
              </w:rPr>
              <w:t>GOV-PRO-14</w:t>
            </w:r>
          </w:p>
        </w:tc>
        <w:tc>
          <w:tcPr>
            <w:tcW w:type="dxa" w:w="2436"/>
          </w:tcPr>
          <w:p>
            <w:pPr>
              <w:spacing w:after="40"/>
            </w:pPr>
            <w:r>
              <w:rPr>
                <w:b w:val="0"/>
                <w:i w:val="0"/>
                <w:sz w:val="19"/>
              </w:rPr>
              <w:t>Configuration exports; a query result for a known event</w:t>
            </w:r>
          </w:p>
        </w:tc>
      </w:tr>
      <w:tr>
        <w:tc>
          <w:tcPr>
            <w:tcW w:type="dxa" w:w="2436"/>
          </w:tcPr>
          <w:p>
            <w:pPr>
              <w:spacing w:after="40"/>
            </w:pPr>
            <w:r>
              <w:rPr>
                <w:b w:val="0"/>
                <w:i w:val="0"/>
                <w:sz w:val="19"/>
              </w:rPr>
              <w:t>Alerts raised and triaged in the period</w:t>
            </w:r>
          </w:p>
        </w:tc>
        <w:tc>
          <w:tcPr>
            <w:tcW w:type="dxa" w:w="2436"/>
          </w:tcPr>
          <w:p>
            <w:pPr>
              <w:spacing w:after="40"/>
            </w:pPr>
            <w:r>
              <w:rPr>
                <w:b w:val="0"/>
                <w:i w:val="0"/>
                <w:sz w:val="19"/>
              </w:rPr>
              <w:t>CC7.2, CC7.3</w:t>
            </w:r>
          </w:p>
        </w:tc>
        <w:tc>
          <w:tcPr>
            <w:tcW w:type="dxa" w:w="2436"/>
          </w:tcPr>
          <w:p>
            <w:pPr>
              <w:spacing w:after="40"/>
            </w:pPr>
            <w:r>
              <w:rPr>
                <w:b w:val="0"/>
                <w:i w:val="0"/>
                <w:sz w:val="19"/>
              </w:rPr>
              <w:t>GOV-PRO-14</w:t>
            </w:r>
          </w:p>
        </w:tc>
        <w:tc>
          <w:tcPr>
            <w:tcW w:type="dxa" w:w="2436"/>
          </w:tcPr>
          <w:p>
            <w:pPr>
              <w:spacing w:after="40"/>
            </w:pPr>
            <w:r>
              <w:rPr>
                <w:b w:val="0"/>
                <w:i w:val="0"/>
                <w:sz w:val="19"/>
              </w:rPr>
              <w:t>Alert export with triage outcome; population for sampling</w:t>
            </w:r>
          </w:p>
        </w:tc>
      </w:tr>
      <w:tr>
        <w:tc>
          <w:tcPr>
            <w:tcW w:type="dxa" w:w="2436"/>
          </w:tcPr>
          <w:p>
            <w:pPr>
              <w:spacing w:after="40"/>
            </w:pPr>
            <w:r>
              <w:rPr>
                <w:b w:val="0"/>
                <w:i w:val="0"/>
                <w:sz w:val="19"/>
              </w:rPr>
              <w:t>Backup job history and restore tests</w:t>
            </w:r>
          </w:p>
        </w:tc>
        <w:tc>
          <w:tcPr>
            <w:tcW w:type="dxa" w:w="2436"/>
          </w:tcPr>
          <w:p>
            <w:pPr>
              <w:spacing w:after="40"/>
            </w:pPr>
            <w:r>
              <w:rPr>
                <w:b w:val="0"/>
                <w:i w:val="0"/>
                <w:sz w:val="19"/>
              </w:rPr>
              <w:t>A1.2, A1.3</w:t>
            </w:r>
          </w:p>
        </w:tc>
        <w:tc>
          <w:tcPr>
            <w:tcW w:type="dxa" w:w="2436"/>
          </w:tcPr>
          <w:p>
            <w:pPr>
              <w:spacing w:after="40"/>
            </w:pPr>
            <w:r>
              <w:rPr>
                <w:b w:val="0"/>
                <w:i w:val="0"/>
                <w:sz w:val="19"/>
              </w:rPr>
              <w:t>GOV-PRO-12; GOV-REG-15</w:t>
            </w:r>
          </w:p>
        </w:tc>
        <w:tc>
          <w:tcPr>
            <w:tcW w:type="dxa" w:w="2436"/>
          </w:tcPr>
          <w:p>
            <w:pPr>
              <w:spacing w:after="40"/>
            </w:pPr>
            <w:r>
              <w:rPr>
                <w:b w:val="0"/>
                <w:i w:val="0"/>
                <w:sz w:val="19"/>
              </w:rPr>
              <w:t>Job history export for the period; restore test records per quarter</w:t>
            </w:r>
          </w:p>
        </w:tc>
      </w:tr>
      <w:tr>
        <w:tc>
          <w:tcPr>
            <w:tcW w:type="dxa" w:w="2436"/>
          </w:tcPr>
          <w:p>
            <w:pPr>
              <w:spacing w:after="40"/>
            </w:pPr>
            <w:r>
              <w:rPr>
                <w:b w:val="0"/>
                <w:i w:val="0"/>
                <w:sz w:val="19"/>
              </w:rPr>
              <w:t>Capacity and availability monitoring and uptime for the period</w:t>
            </w:r>
          </w:p>
        </w:tc>
        <w:tc>
          <w:tcPr>
            <w:tcW w:type="dxa" w:w="2436"/>
          </w:tcPr>
          <w:p>
            <w:pPr>
              <w:spacing w:after="40"/>
            </w:pPr>
            <w:r>
              <w:rPr>
                <w:b w:val="0"/>
                <w:i w:val="0"/>
                <w:sz w:val="19"/>
              </w:rPr>
              <w:t>A1.1</w:t>
            </w:r>
          </w:p>
        </w:tc>
        <w:tc>
          <w:tcPr>
            <w:tcW w:type="dxa" w:w="2436"/>
          </w:tcPr>
          <w:p>
            <w:pPr>
              <w:spacing w:after="40"/>
            </w:pPr>
            <w:r>
              <w:rPr>
                <w:b w:val="0"/>
                <w:i w:val="0"/>
                <w:sz w:val="19"/>
              </w:rPr>
              <w:t>GOV-PRO-19; GOV-REG-17</w:t>
            </w:r>
          </w:p>
        </w:tc>
        <w:tc>
          <w:tcPr>
            <w:tcW w:type="dxa" w:w="2436"/>
          </w:tcPr>
          <w:p>
            <w:pPr>
              <w:spacing w:after="40"/>
            </w:pPr>
            <w:r>
              <w:rPr>
                <w:b w:val="0"/>
                <w:i w:val="0"/>
                <w:sz w:val="19"/>
              </w:rPr>
              <w:t>Monitoring export; uptime figures against the commitment</w:t>
            </w:r>
          </w:p>
        </w:tc>
      </w:tr>
      <w:tr>
        <w:tc>
          <w:tcPr>
            <w:tcW w:type="dxa" w:w="2436"/>
          </w:tcPr>
          <w:p>
            <w:pPr>
              <w:spacing w:after="40"/>
            </w:pPr>
            <w:r>
              <w:rPr>
                <w:b w:val="0"/>
                <w:i w:val="0"/>
                <w:sz w:val="19"/>
              </w:rPr>
              <w:t>Continuity plan and exercise results</w:t>
            </w:r>
          </w:p>
        </w:tc>
        <w:tc>
          <w:tcPr>
            <w:tcW w:type="dxa" w:w="2436"/>
          </w:tcPr>
          <w:p>
            <w:pPr>
              <w:spacing w:after="40"/>
            </w:pPr>
            <w:r>
              <w:rPr>
                <w:b w:val="0"/>
                <w:i w:val="0"/>
                <w:sz w:val="19"/>
              </w:rPr>
              <w:t>A1.3, CC9.1</w:t>
            </w:r>
          </w:p>
        </w:tc>
        <w:tc>
          <w:tcPr>
            <w:tcW w:type="dxa" w:w="2436"/>
          </w:tcPr>
          <w:p>
            <w:pPr>
              <w:spacing w:after="40"/>
            </w:pPr>
            <w:r>
              <w:rPr>
                <w:b w:val="0"/>
                <w:i w:val="0"/>
                <w:sz w:val="19"/>
              </w:rPr>
              <w:t>GOV-PRO-13; GOV-REG-16</w:t>
            </w:r>
          </w:p>
        </w:tc>
        <w:tc>
          <w:tcPr>
            <w:tcW w:type="dxa" w:w="2436"/>
          </w:tcPr>
          <w:p>
            <w:pPr>
              <w:spacing w:after="40"/>
            </w:pPr>
            <w:r>
              <w:rPr>
                <w:b w:val="0"/>
                <w:i w:val="0"/>
                <w:sz w:val="19"/>
              </w:rPr>
              <w:t>Plan version; exercise record with lessons and actions</w:t>
            </w:r>
          </w:p>
        </w:tc>
      </w:tr>
      <w:tr>
        <w:tc>
          <w:tcPr>
            <w:tcW w:type="dxa" w:w="2436"/>
          </w:tcPr>
          <w:p>
            <w:pPr>
              <w:spacing w:after="40"/>
            </w:pPr>
            <w:r>
              <w:rPr>
                <w:b w:val="0"/>
                <w:i w:val="0"/>
                <w:sz w:val="19"/>
              </w:rPr>
              <w:t>Physical access records and visitor logs for premises</w:t>
            </w:r>
          </w:p>
        </w:tc>
        <w:tc>
          <w:tcPr>
            <w:tcW w:type="dxa" w:w="2436"/>
          </w:tcPr>
          <w:p>
            <w:pPr>
              <w:spacing w:after="40"/>
            </w:pPr>
            <w:r>
              <w:rPr>
                <w:b w:val="0"/>
                <w:i w:val="0"/>
                <w:sz w:val="19"/>
              </w:rPr>
              <w:t>CC6.4</w:t>
            </w:r>
          </w:p>
        </w:tc>
        <w:tc>
          <w:tcPr>
            <w:tcW w:type="dxa" w:w="2436"/>
          </w:tcPr>
          <w:p>
            <w:pPr>
              <w:spacing w:after="40"/>
            </w:pPr>
            <w:r>
              <w:rPr>
                <w:b w:val="0"/>
                <w:i w:val="0"/>
                <w:sz w:val="19"/>
              </w:rPr>
              <w:t>GOV-PRO-17; GOV-REG-19</w:t>
            </w:r>
          </w:p>
        </w:tc>
        <w:tc>
          <w:tcPr>
            <w:tcW w:type="dxa" w:w="2436"/>
          </w:tcPr>
          <w:p>
            <w:pPr>
              <w:spacing w:after="40"/>
            </w:pPr>
            <w:r>
              <w:rPr>
                <w:b w:val="0"/>
                <w:i w:val="0"/>
                <w:sz w:val="19"/>
              </w:rPr>
              <w:t>Access list export; visitor log for the period</w:t>
            </w:r>
          </w:p>
        </w:tc>
      </w:tr>
      <w:tr>
        <w:tc>
          <w:tcPr>
            <w:tcW w:type="dxa" w:w="2436"/>
          </w:tcPr>
          <w:p>
            <w:pPr>
              <w:spacing w:after="40"/>
            </w:pPr>
            <w:r>
              <w:rPr>
                <w:b w:val="0"/>
                <w:i w:val="0"/>
                <w:sz w:val="19"/>
              </w:rPr>
              <w:t>Media and equipment disposal records</w:t>
            </w:r>
          </w:p>
        </w:tc>
        <w:tc>
          <w:tcPr>
            <w:tcW w:type="dxa" w:w="2436"/>
          </w:tcPr>
          <w:p>
            <w:pPr>
              <w:spacing w:after="40"/>
            </w:pPr>
            <w:r>
              <w:rPr>
                <w:b w:val="0"/>
                <w:i w:val="0"/>
                <w:sz w:val="19"/>
              </w:rPr>
              <w:t>CC6.5, C1.2</w:t>
            </w:r>
          </w:p>
        </w:tc>
        <w:tc>
          <w:tcPr>
            <w:tcW w:type="dxa" w:w="2436"/>
          </w:tcPr>
          <w:p>
            <w:pPr>
              <w:spacing w:after="40"/>
            </w:pPr>
            <w:r>
              <w:rPr>
                <w:b w:val="0"/>
                <w:i w:val="0"/>
                <w:sz w:val="19"/>
              </w:rPr>
              <w:t>GOV-REG-20</w:t>
            </w:r>
          </w:p>
        </w:tc>
        <w:tc>
          <w:tcPr>
            <w:tcW w:type="dxa" w:w="2436"/>
          </w:tcPr>
          <w:p>
            <w:pPr>
              <w:spacing w:after="40"/>
            </w:pPr>
            <w:r>
              <w:rPr>
                <w:b w:val="0"/>
                <w:i w:val="0"/>
                <w:sz w:val="19"/>
              </w:rPr>
              <w:t>Disposal log with certificates where a third party destroyed media</w:t>
            </w:r>
          </w:p>
        </w:tc>
      </w:tr>
      <w:tr>
        <w:tc>
          <w:tcPr>
            <w:tcW w:type="dxa" w:w="2436"/>
          </w:tcPr>
          <w:p>
            <w:pPr>
              <w:spacing w:after="40"/>
            </w:pPr>
            <w:r>
              <w:rPr>
                <w:b w:val="0"/>
                <w:i w:val="0"/>
                <w:sz w:val="19"/>
              </w:rPr>
              <w:t>Data deletion at contract end for sampled customers</w:t>
            </w:r>
          </w:p>
        </w:tc>
        <w:tc>
          <w:tcPr>
            <w:tcW w:type="dxa" w:w="2436"/>
          </w:tcPr>
          <w:p>
            <w:pPr>
              <w:spacing w:after="40"/>
            </w:pPr>
            <w:r>
              <w:rPr>
                <w:b w:val="0"/>
                <w:i w:val="0"/>
                <w:sz w:val="19"/>
              </w:rPr>
              <w:t>C1.2, P4.3</w:t>
            </w:r>
          </w:p>
        </w:tc>
        <w:tc>
          <w:tcPr>
            <w:tcW w:type="dxa" w:w="2436"/>
          </w:tcPr>
          <w:p>
            <w:pPr>
              <w:spacing w:after="40"/>
            </w:pPr>
            <w:r>
              <w:rPr>
                <w:b w:val="0"/>
                <w:i w:val="0"/>
                <w:sz w:val="19"/>
              </w:rPr>
              <w:t>PIMS-POL-02; PIMS-REG-07</w:t>
            </w:r>
          </w:p>
        </w:tc>
        <w:tc>
          <w:tcPr>
            <w:tcW w:type="dxa" w:w="2436"/>
          </w:tcPr>
          <w:p>
            <w:pPr>
              <w:spacing w:after="40"/>
            </w:pPr>
            <w:r>
              <w:rPr>
                <w:b w:val="0"/>
                <w:i w:val="0"/>
                <w:sz w:val="19"/>
              </w:rPr>
              <w:t>Deletion record per sampled customer with date and method</w:t>
            </w:r>
          </w:p>
        </w:tc>
      </w:tr>
    </w:tbl>
    <w:p/>
    <w:p>
      <w:pPr>
        <w:pStyle w:val="Heading1"/>
      </w:pPr>
      <w:r>
        <w:t>5. Policy owner (Information Security Manager)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Request</w:t>
            </w:r>
          </w:p>
        </w:tc>
        <w:tc>
          <w:tcPr>
            <w:tcW w:type="dxa" w:w="2436"/>
            <w:shd w:val="clear" w:color="auto" w:fill="EEF3F8"/>
          </w:tcPr>
          <w:p>
            <w:pPr>
              <w:spacing w:after="40"/>
            </w:pPr>
            <w:r>
              <w:rPr>
                <w:b/>
                <w:i w:val="0"/>
                <w:sz w:val="19"/>
              </w:rPr>
              <w:t>Criteria</w:t>
            </w:r>
          </w:p>
        </w:tc>
        <w:tc>
          <w:tcPr>
            <w:tcW w:type="dxa" w:w="2436"/>
            <w:shd w:val="clear" w:color="auto" w:fill="EEF3F8"/>
          </w:tcPr>
          <w:p>
            <w:pPr>
              <w:spacing w:after="40"/>
            </w:pPr>
            <w:r>
              <w:rPr>
                <w:b/>
                <w:i w:val="0"/>
                <w:sz w:val="19"/>
              </w:rPr>
              <w:t>Kit source</w:t>
            </w:r>
          </w:p>
        </w:tc>
        <w:tc>
          <w:tcPr>
            <w:tcW w:type="dxa" w:w="2436"/>
            <w:shd w:val="clear" w:color="auto" w:fill="EEF3F8"/>
          </w:tcPr>
          <w:p>
            <w:pPr>
              <w:spacing w:after="40"/>
            </w:pPr>
            <w:r>
              <w:rPr>
                <w:b/>
                <w:i w:val="0"/>
                <w:sz w:val="19"/>
              </w:rPr>
              <w:t>Deliver as</w:t>
            </w:r>
          </w:p>
        </w:tc>
      </w:tr>
      <w:tr>
        <w:tc>
          <w:tcPr>
            <w:tcW w:type="dxa" w:w="2436"/>
          </w:tcPr>
          <w:p>
            <w:pPr>
              <w:spacing w:after="40"/>
            </w:pPr>
            <w:r>
              <w:rPr>
                <w:b w:val="0"/>
                <w:i w:val="0"/>
                <w:sz w:val="19"/>
              </w:rPr>
              <w:t>All policies and procedures in force during the period with approval dates</w:t>
            </w:r>
          </w:p>
        </w:tc>
        <w:tc>
          <w:tcPr>
            <w:tcW w:type="dxa" w:w="2436"/>
          </w:tcPr>
          <w:p>
            <w:pPr>
              <w:spacing w:after="40"/>
            </w:pPr>
            <w:r>
              <w:rPr>
                <w:b w:val="0"/>
                <w:i w:val="0"/>
                <w:sz w:val="19"/>
              </w:rPr>
              <w:t>CC5.3, CC2.2</w:t>
            </w:r>
          </w:p>
        </w:tc>
        <w:tc>
          <w:tcPr>
            <w:tcW w:type="dxa" w:w="2436"/>
          </w:tcPr>
          <w:p>
            <w:pPr>
              <w:spacing w:after="40"/>
            </w:pPr>
            <w:r>
              <w:rPr>
                <w:b w:val="0"/>
                <w:i w:val="0"/>
                <w:sz w:val="19"/>
              </w:rPr>
              <w:t>GOV-REG-01; GOV-PRO-01</w:t>
            </w:r>
          </w:p>
        </w:tc>
        <w:tc>
          <w:tcPr>
            <w:tcW w:type="dxa" w:w="2436"/>
          </w:tcPr>
          <w:p>
            <w:pPr>
              <w:spacing w:after="40"/>
            </w:pPr>
            <w:r>
              <w:rPr>
                <w:b w:val="0"/>
                <w:i w:val="0"/>
                <w:sz w:val="19"/>
              </w:rPr>
              <w:t>Master list export; approved versions</w:t>
            </w:r>
          </w:p>
        </w:tc>
      </w:tr>
      <w:tr>
        <w:tc>
          <w:tcPr>
            <w:tcW w:type="dxa" w:w="2436"/>
          </w:tcPr>
          <w:p>
            <w:pPr>
              <w:spacing w:after="40"/>
            </w:pPr>
            <w:r>
              <w:rPr>
                <w:b w:val="0"/>
                <w:i w:val="0"/>
                <w:sz w:val="19"/>
              </w:rPr>
              <w:t>Evidence of annual policy review</w:t>
            </w:r>
          </w:p>
        </w:tc>
        <w:tc>
          <w:tcPr>
            <w:tcW w:type="dxa" w:w="2436"/>
          </w:tcPr>
          <w:p>
            <w:pPr>
              <w:spacing w:after="40"/>
            </w:pPr>
            <w:r>
              <w:rPr>
                <w:b w:val="0"/>
                <w:i w:val="0"/>
                <w:sz w:val="19"/>
              </w:rPr>
              <w:t>CC5.3</w:t>
            </w:r>
          </w:p>
        </w:tc>
        <w:tc>
          <w:tcPr>
            <w:tcW w:type="dxa" w:w="2436"/>
          </w:tcPr>
          <w:p>
            <w:pPr>
              <w:spacing w:after="40"/>
            </w:pPr>
            <w:r>
              <w:rPr>
                <w:b w:val="0"/>
                <w:i w:val="0"/>
                <w:sz w:val="19"/>
              </w:rPr>
              <w:t>GOV-REG-01</w:t>
            </w:r>
          </w:p>
        </w:tc>
        <w:tc>
          <w:tcPr>
            <w:tcW w:type="dxa" w:w="2436"/>
          </w:tcPr>
          <w:p>
            <w:pPr>
              <w:spacing w:after="40"/>
            </w:pPr>
            <w:r>
              <w:rPr>
                <w:b w:val="0"/>
                <w:i w:val="0"/>
                <w:sz w:val="19"/>
              </w:rPr>
              <w:t>Review records, including no-change reviews</w:t>
            </w:r>
          </w:p>
        </w:tc>
      </w:tr>
      <w:tr>
        <w:tc>
          <w:tcPr>
            <w:tcW w:type="dxa" w:w="2436"/>
          </w:tcPr>
          <w:p>
            <w:pPr>
              <w:spacing w:after="40"/>
            </w:pPr>
            <w:r>
              <w:rPr>
                <w:b w:val="0"/>
                <w:i w:val="0"/>
                <w:sz w:val="19"/>
              </w:rPr>
              <w:t>System description and management's assertion</w:t>
            </w:r>
          </w:p>
        </w:tc>
        <w:tc>
          <w:tcPr>
            <w:tcW w:type="dxa" w:w="2436"/>
          </w:tcPr>
          <w:p>
            <w:pPr>
              <w:spacing w:after="40"/>
            </w:pPr>
            <w:r>
              <w:rPr>
                <w:b w:val="0"/>
                <w:i w:val="0"/>
                <w:sz w:val="19"/>
              </w:rPr>
              <w:t>CC2.3</w:t>
            </w:r>
          </w:p>
        </w:tc>
        <w:tc>
          <w:tcPr>
            <w:tcW w:type="dxa" w:w="2436"/>
          </w:tcPr>
          <w:p>
            <w:pPr>
              <w:spacing w:after="40"/>
            </w:pPr>
            <w:r>
              <w:rPr>
                <w:b w:val="0"/>
                <w:i w:val="0"/>
                <w:sz w:val="19"/>
              </w:rPr>
              <w:t>SOC-TPL-01</w:t>
            </w:r>
          </w:p>
        </w:tc>
        <w:tc>
          <w:tcPr>
            <w:tcW w:type="dxa" w:w="2436"/>
          </w:tcPr>
          <w:p>
            <w:pPr>
              <w:spacing w:after="40"/>
            </w:pPr>
            <w:r>
              <w:rPr>
                <w:b w:val="0"/>
                <w:i w:val="0"/>
                <w:sz w:val="19"/>
              </w:rPr>
              <w:t>Approved current version</w:t>
            </w:r>
          </w:p>
        </w:tc>
      </w:tr>
      <w:tr>
        <w:tc>
          <w:tcPr>
            <w:tcW w:type="dxa" w:w="2436"/>
          </w:tcPr>
          <w:p>
            <w:pPr>
              <w:spacing w:after="40"/>
            </w:pPr>
            <w:r>
              <w:rPr>
                <w:b w:val="0"/>
                <w:i w:val="0"/>
                <w:sz w:val="19"/>
              </w:rPr>
              <w:t>Control matrix</w:t>
            </w:r>
          </w:p>
        </w:tc>
        <w:tc>
          <w:tcPr>
            <w:tcW w:type="dxa" w:w="2436"/>
          </w:tcPr>
          <w:p>
            <w:pPr>
              <w:spacing w:after="40"/>
            </w:pPr>
            <w:r>
              <w:rPr>
                <w:b w:val="0"/>
                <w:i w:val="0"/>
                <w:sz w:val="19"/>
              </w:rPr>
              <w:t>CC5.1</w:t>
            </w:r>
          </w:p>
        </w:tc>
        <w:tc>
          <w:tcPr>
            <w:tcW w:type="dxa" w:w="2436"/>
          </w:tcPr>
          <w:p>
            <w:pPr>
              <w:spacing w:after="40"/>
            </w:pPr>
            <w:r>
              <w:rPr>
                <w:b w:val="0"/>
                <w:i w:val="0"/>
                <w:sz w:val="19"/>
              </w:rPr>
              <w:t>SOC-REG-01</w:t>
            </w:r>
          </w:p>
        </w:tc>
        <w:tc>
          <w:tcPr>
            <w:tcW w:type="dxa" w:w="2436"/>
          </w:tcPr>
          <w:p>
            <w:pPr>
              <w:spacing w:after="40"/>
            </w:pPr>
            <w:r>
              <w:rPr>
                <w:b w:val="0"/>
                <w:i w:val="0"/>
                <w:sz w:val="19"/>
              </w:rPr>
              <w:t>Current version with owner, frequency and evidence per control</w:t>
            </w:r>
          </w:p>
        </w:tc>
      </w:tr>
      <w:tr>
        <w:tc>
          <w:tcPr>
            <w:tcW w:type="dxa" w:w="2436"/>
          </w:tcPr>
          <w:p>
            <w:pPr>
              <w:spacing w:after="40"/>
            </w:pPr>
            <w:r>
              <w:rPr>
                <w:b w:val="0"/>
                <w:i w:val="0"/>
                <w:sz w:val="19"/>
              </w:rPr>
              <w:t>Internal control testing results for the period</w:t>
            </w:r>
          </w:p>
        </w:tc>
        <w:tc>
          <w:tcPr>
            <w:tcW w:type="dxa" w:w="2436"/>
          </w:tcPr>
          <w:p>
            <w:pPr>
              <w:spacing w:after="40"/>
            </w:pPr>
            <w:r>
              <w:rPr>
                <w:b w:val="0"/>
                <w:i w:val="0"/>
                <w:sz w:val="19"/>
              </w:rPr>
              <w:t>CC4.1, CC4.2</w:t>
            </w:r>
          </w:p>
        </w:tc>
        <w:tc>
          <w:tcPr>
            <w:tcW w:type="dxa" w:w="2436"/>
          </w:tcPr>
          <w:p>
            <w:pPr>
              <w:spacing w:after="40"/>
            </w:pPr>
            <w:r>
              <w:rPr>
                <w:b w:val="0"/>
                <w:i w:val="0"/>
                <w:sz w:val="19"/>
              </w:rPr>
              <w:t>SOC-PRO-01</w:t>
            </w:r>
          </w:p>
        </w:tc>
        <w:tc>
          <w:tcPr>
            <w:tcW w:type="dxa" w:w="2436"/>
          </w:tcPr>
          <w:p>
            <w:pPr>
              <w:spacing w:after="40"/>
            </w:pPr>
            <w:r>
              <w:rPr>
                <w:b w:val="0"/>
                <w:i w:val="0"/>
                <w:sz w:val="19"/>
              </w:rPr>
              <w:t>Workpapers and the quarterly summaries</w:t>
            </w:r>
          </w:p>
        </w:tc>
      </w:tr>
      <w:tr>
        <w:tc>
          <w:tcPr>
            <w:tcW w:type="dxa" w:w="2436"/>
          </w:tcPr>
          <w:p>
            <w:pPr>
              <w:spacing w:after="40"/>
            </w:pPr>
            <w:r>
              <w:rPr>
                <w:b w:val="0"/>
                <w:i w:val="0"/>
                <w:sz w:val="19"/>
              </w:rPr>
              <w:t>Internal audit plan, reports and corrective actions</w:t>
            </w:r>
          </w:p>
        </w:tc>
        <w:tc>
          <w:tcPr>
            <w:tcW w:type="dxa" w:w="2436"/>
          </w:tcPr>
          <w:p>
            <w:pPr>
              <w:spacing w:after="40"/>
            </w:pPr>
            <w:r>
              <w:rPr>
                <w:b w:val="0"/>
                <w:i w:val="0"/>
                <w:sz w:val="19"/>
              </w:rPr>
              <w:t>CC4.1, CC4.2</w:t>
            </w:r>
          </w:p>
        </w:tc>
        <w:tc>
          <w:tcPr>
            <w:tcW w:type="dxa" w:w="2436"/>
          </w:tcPr>
          <w:p>
            <w:pPr>
              <w:spacing w:after="40"/>
            </w:pPr>
            <w:r>
              <w:rPr>
                <w:b w:val="0"/>
                <w:i w:val="0"/>
                <w:sz w:val="19"/>
              </w:rPr>
              <w:t>GOV-PRO-02; GOV-REG-02; GOV-TPL-01</w:t>
            </w:r>
          </w:p>
        </w:tc>
        <w:tc>
          <w:tcPr>
            <w:tcW w:type="dxa" w:w="2436"/>
          </w:tcPr>
          <w:p>
            <w:pPr>
              <w:spacing w:after="40"/>
            </w:pPr>
            <w:r>
              <w:rPr>
                <w:b w:val="0"/>
                <w:i w:val="0"/>
                <w:sz w:val="19"/>
              </w:rPr>
              <w:t>Plan; reports; GOV-REG-03 export</w:t>
            </w:r>
          </w:p>
        </w:tc>
      </w:tr>
      <w:tr>
        <w:tc>
          <w:tcPr>
            <w:tcW w:type="dxa" w:w="2436"/>
          </w:tcPr>
          <w:p>
            <w:pPr>
              <w:spacing w:after="40"/>
            </w:pPr>
            <w:r>
              <w:rPr>
                <w:b w:val="0"/>
                <w:i w:val="0"/>
                <w:sz w:val="19"/>
              </w:rPr>
              <w:t>Steering committee minutes for the period</w:t>
            </w:r>
          </w:p>
        </w:tc>
        <w:tc>
          <w:tcPr>
            <w:tcW w:type="dxa" w:w="2436"/>
          </w:tcPr>
          <w:p>
            <w:pPr>
              <w:spacing w:after="40"/>
            </w:pPr>
            <w:r>
              <w:rPr>
                <w:b w:val="0"/>
                <w:i w:val="0"/>
                <w:sz w:val="19"/>
              </w:rPr>
              <w:t>CC1.2, CC2.2</w:t>
            </w:r>
          </w:p>
        </w:tc>
        <w:tc>
          <w:tcPr>
            <w:tcW w:type="dxa" w:w="2436"/>
          </w:tcPr>
          <w:p>
            <w:pPr>
              <w:spacing w:after="40"/>
            </w:pPr>
            <w:r>
              <w:rPr>
                <w:b w:val="0"/>
                <w:i w:val="0"/>
                <w:sz w:val="19"/>
              </w:rPr>
              <w:t>GOV-POL-01</w:t>
            </w:r>
          </w:p>
        </w:tc>
        <w:tc>
          <w:tcPr>
            <w:tcW w:type="dxa" w:w="2436"/>
          </w:tcPr>
          <w:p>
            <w:pPr>
              <w:spacing w:after="40"/>
            </w:pPr>
            <w:r>
              <w:rPr>
                <w:b w:val="0"/>
                <w:i w:val="0"/>
                <w:sz w:val="19"/>
              </w:rPr>
              <w:t>Minutes per meeting with attendance and decisions</w:t>
            </w:r>
          </w:p>
        </w:tc>
      </w:tr>
      <w:tr>
        <w:tc>
          <w:tcPr>
            <w:tcW w:type="dxa" w:w="2436"/>
          </w:tcPr>
          <w:p>
            <w:pPr>
              <w:spacing w:after="40"/>
            </w:pPr>
            <w:r>
              <w:rPr>
                <w:b w:val="0"/>
                <w:i w:val="0"/>
                <w:sz w:val="19"/>
              </w:rPr>
              <w:t>Management review minutes</w:t>
            </w:r>
          </w:p>
        </w:tc>
        <w:tc>
          <w:tcPr>
            <w:tcW w:type="dxa" w:w="2436"/>
          </w:tcPr>
          <w:p>
            <w:pPr>
              <w:spacing w:after="40"/>
            </w:pPr>
            <w:r>
              <w:rPr>
                <w:b w:val="0"/>
                <w:i w:val="0"/>
                <w:sz w:val="19"/>
              </w:rPr>
              <w:t>CC1.2, CC4.1</w:t>
            </w:r>
          </w:p>
        </w:tc>
        <w:tc>
          <w:tcPr>
            <w:tcW w:type="dxa" w:w="2436"/>
          </w:tcPr>
          <w:p>
            <w:pPr>
              <w:spacing w:after="40"/>
            </w:pPr>
            <w:r>
              <w:rPr>
                <w:b w:val="0"/>
                <w:i w:val="0"/>
                <w:sz w:val="19"/>
              </w:rPr>
              <w:t>GOV-PRO-03; GOV-TPL-03; GOV-REG-22</w:t>
            </w:r>
          </w:p>
        </w:tc>
        <w:tc>
          <w:tcPr>
            <w:tcW w:type="dxa" w:w="2436"/>
          </w:tcPr>
          <w:p>
            <w:pPr>
              <w:spacing w:after="40"/>
            </w:pPr>
            <w:r>
              <w:rPr>
                <w:b w:val="0"/>
                <w:i w:val="0"/>
                <w:sz w:val="19"/>
              </w:rPr>
              <w:t>Minutes and action tracker</w:t>
            </w:r>
          </w:p>
        </w:tc>
      </w:tr>
      <w:tr>
        <w:tc>
          <w:tcPr>
            <w:tcW w:type="dxa" w:w="2436"/>
          </w:tcPr>
          <w:p>
            <w:pPr>
              <w:spacing w:after="40"/>
            </w:pPr>
            <w:r>
              <w:rPr>
                <w:b w:val="0"/>
                <w:i w:val="0"/>
                <w:sz w:val="19"/>
              </w:rPr>
              <w:t>Security objectives and measures reporting</w:t>
            </w:r>
          </w:p>
        </w:tc>
        <w:tc>
          <w:tcPr>
            <w:tcW w:type="dxa" w:w="2436"/>
          </w:tcPr>
          <w:p>
            <w:pPr>
              <w:spacing w:after="40"/>
            </w:pPr>
            <w:r>
              <w:rPr>
                <w:b w:val="0"/>
                <w:i w:val="0"/>
                <w:sz w:val="19"/>
              </w:rPr>
              <w:t>CC3.1, CC2.1</w:t>
            </w:r>
          </w:p>
        </w:tc>
        <w:tc>
          <w:tcPr>
            <w:tcW w:type="dxa" w:w="2436"/>
          </w:tcPr>
          <w:p>
            <w:pPr>
              <w:spacing w:after="40"/>
            </w:pPr>
            <w:r>
              <w:rPr>
                <w:b w:val="0"/>
                <w:i w:val="0"/>
                <w:sz w:val="19"/>
              </w:rPr>
              <w:t>GOV-REG-21; ISMS-PRO-04</w:t>
            </w:r>
          </w:p>
        </w:tc>
        <w:tc>
          <w:tcPr>
            <w:tcW w:type="dxa" w:w="2436"/>
          </w:tcPr>
          <w:p>
            <w:pPr>
              <w:spacing w:after="40"/>
            </w:pPr>
            <w:r>
              <w:rPr>
                <w:b w:val="0"/>
                <w:i w:val="0"/>
                <w:sz w:val="19"/>
              </w:rPr>
              <w:t>Register export with values per period</w:t>
            </w:r>
          </w:p>
        </w:tc>
      </w:tr>
      <w:tr>
        <w:tc>
          <w:tcPr>
            <w:tcW w:type="dxa" w:w="2436"/>
          </w:tcPr>
          <w:p>
            <w:pPr>
              <w:spacing w:after="40"/>
            </w:pPr>
            <w:r>
              <w:rPr>
                <w:b w:val="0"/>
                <w:i w:val="0"/>
                <w:sz w:val="19"/>
              </w:rPr>
              <w:t>Incident register and sampled incident records</w:t>
            </w:r>
          </w:p>
        </w:tc>
        <w:tc>
          <w:tcPr>
            <w:tcW w:type="dxa" w:w="2436"/>
          </w:tcPr>
          <w:p>
            <w:pPr>
              <w:spacing w:after="40"/>
            </w:pPr>
            <w:r>
              <w:rPr>
                <w:b w:val="0"/>
                <w:i w:val="0"/>
                <w:sz w:val="19"/>
              </w:rPr>
              <w:t>CC7.3, CC7.4, CC7.5</w:t>
            </w:r>
          </w:p>
        </w:tc>
        <w:tc>
          <w:tcPr>
            <w:tcW w:type="dxa" w:w="2436"/>
          </w:tcPr>
          <w:p>
            <w:pPr>
              <w:spacing w:after="40"/>
            </w:pPr>
            <w:r>
              <w:rPr>
                <w:b w:val="0"/>
                <w:i w:val="0"/>
                <w:sz w:val="19"/>
              </w:rPr>
              <w:t>GOV-REG-08; GOV-TPL-05; GOV-TPL-11</w:t>
            </w:r>
          </w:p>
        </w:tc>
        <w:tc>
          <w:tcPr>
            <w:tcW w:type="dxa" w:w="2436"/>
          </w:tcPr>
          <w:p>
            <w:pPr>
              <w:spacing w:after="40"/>
            </w:pPr>
            <w:r>
              <w:rPr>
                <w:b w:val="0"/>
                <w:i w:val="0"/>
                <w:sz w:val="19"/>
              </w:rPr>
              <w:t>Register export; report and post-incident review per sampled incident</w:t>
            </w:r>
          </w:p>
        </w:tc>
      </w:tr>
      <w:tr>
        <w:tc>
          <w:tcPr>
            <w:tcW w:type="dxa" w:w="2436"/>
          </w:tcPr>
          <w:p>
            <w:pPr>
              <w:spacing w:after="40"/>
            </w:pPr>
            <w:r>
              <w:rPr>
                <w:b w:val="0"/>
                <w:i w:val="0"/>
                <w:sz w:val="19"/>
              </w:rPr>
              <w:t>Communication to customers of commitments, changes and incidents</w:t>
            </w:r>
          </w:p>
        </w:tc>
        <w:tc>
          <w:tcPr>
            <w:tcW w:type="dxa" w:w="2436"/>
          </w:tcPr>
          <w:p>
            <w:pPr>
              <w:spacing w:after="40"/>
            </w:pPr>
            <w:r>
              <w:rPr>
                <w:b w:val="0"/>
                <w:i w:val="0"/>
                <w:sz w:val="19"/>
              </w:rPr>
              <w:t>CC2.3</w:t>
            </w:r>
          </w:p>
        </w:tc>
        <w:tc>
          <w:tcPr>
            <w:tcW w:type="dxa" w:w="2436"/>
          </w:tcPr>
          <w:p>
            <w:pPr>
              <w:spacing w:after="40"/>
            </w:pPr>
            <w:r>
              <w:rPr>
                <w:b w:val="0"/>
                <w:i w:val="0"/>
                <w:sz w:val="19"/>
              </w:rPr>
              <w:t>ISMS-PLN-02</w:t>
            </w:r>
          </w:p>
        </w:tc>
        <w:tc>
          <w:tcPr>
            <w:tcW w:type="dxa" w:w="2436"/>
          </w:tcPr>
          <w:p>
            <w:pPr>
              <w:spacing w:after="40"/>
            </w:pPr>
            <w:r>
              <w:rPr>
                <w:b w:val="0"/>
                <w:i w:val="0"/>
                <w:sz w:val="19"/>
              </w:rPr>
              <w:t>Examples of each channel used in the period</w:t>
            </w:r>
          </w:p>
        </w:tc>
      </w:tr>
      <w:tr>
        <w:tc>
          <w:tcPr>
            <w:tcW w:type="dxa" w:w="2436"/>
          </w:tcPr>
          <w:p>
            <w:pPr>
              <w:spacing w:after="40"/>
            </w:pPr>
            <w:r>
              <w:rPr>
                <w:b w:val="0"/>
                <w:i w:val="0"/>
                <w:sz w:val="19"/>
              </w:rPr>
              <w:t>Vulnerability disclosure channel and reports received</w:t>
            </w:r>
          </w:p>
        </w:tc>
        <w:tc>
          <w:tcPr>
            <w:tcW w:type="dxa" w:w="2436"/>
          </w:tcPr>
          <w:p>
            <w:pPr>
              <w:spacing w:after="40"/>
            </w:pPr>
            <w:r>
              <w:rPr>
                <w:b w:val="0"/>
                <w:i w:val="0"/>
                <w:sz w:val="19"/>
              </w:rPr>
              <w:t>CC2.3, CC7.1</w:t>
            </w:r>
          </w:p>
        </w:tc>
        <w:tc>
          <w:tcPr>
            <w:tcW w:type="dxa" w:w="2436"/>
          </w:tcPr>
          <w:p>
            <w:pPr>
              <w:spacing w:after="40"/>
            </w:pPr>
            <w:r>
              <w:rPr>
                <w:b w:val="0"/>
                <w:i w:val="0"/>
                <w:sz w:val="19"/>
              </w:rPr>
              <w:t>GOV-PRO-27</w:t>
            </w:r>
          </w:p>
        </w:tc>
        <w:tc>
          <w:tcPr>
            <w:tcW w:type="dxa" w:w="2436"/>
          </w:tcPr>
          <w:p>
            <w:pPr>
              <w:spacing w:after="40"/>
            </w:pPr>
            <w:r>
              <w:rPr>
                <w:b w:val="0"/>
                <w:i w:val="0"/>
                <w:sz w:val="19"/>
              </w:rPr>
              <w:t>Channel description; log of reports and responses</w:t>
            </w:r>
          </w:p>
        </w:tc>
      </w:tr>
      <w:tr>
        <w:tc>
          <w:tcPr>
            <w:tcW w:type="dxa" w:w="2436"/>
          </w:tcPr>
          <w:p>
            <w:pPr>
              <w:spacing w:after="40"/>
            </w:pPr>
            <w:r>
              <w:rPr>
                <w:b w:val="0"/>
                <w:i w:val="0"/>
                <w:sz w:val="19"/>
              </w:rPr>
              <w:t>Legal and contractual obligations register</w:t>
            </w:r>
          </w:p>
        </w:tc>
        <w:tc>
          <w:tcPr>
            <w:tcW w:type="dxa" w:w="2436"/>
          </w:tcPr>
          <w:p>
            <w:pPr>
              <w:spacing w:after="40"/>
            </w:pPr>
            <w:r>
              <w:rPr>
                <w:b w:val="0"/>
                <w:i w:val="0"/>
                <w:sz w:val="19"/>
              </w:rPr>
              <w:t>CC2.3, CC1.1</w:t>
            </w:r>
          </w:p>
        </w:tc>
        <w:tc>
          <w:tcPr>
            <w:tcW w:type="dxa" w:w="2436"/>
          </w:tcPr>
          <w:p>
            <w:pPr>
              <w:spacing w:after="40"/>
            </w:pPr>
            <w:r>
              <w:rPr>
                <w:b w:val="0"/>
                <w:i w:val="0"/>
                <w:sz w:val="19"/>
              </w:rPr>
              <w:t>GOV-REG-04</w:t>
            </w:r>
          </w:p>
        </w:tc>
        <w:tc>
          <w:tcPr>
            <w:tcW w:type="dxa" w:w="2436"/>
          </w:tcPr>
          <w:p>
            <w:pPr>
              <w:spacing w:after="40"/>
            </w:pPr>
            <w:r>
              <w:rPr>
                <w:b w:val="0"/>
                <w:i w:val="0"/>
                <w:sz w:val="19"/>
              </w:rPr>
              <w:t>Register export with review dates</w:t>
            </w:r>
          </w:p>
        </w:tc>
      </w:tr>
      <w:tr>
        <w:tc>
          <w:tcPr>
            <w:tcW w:type="dxa" w:w="2436"/>
          </w:tcPr>
          <w:p>
            <w:pPr>
              <w:spacing w:after="40"/>
            </w:pPr>
            <w:r>
              <w:rPr>
                <w:b w:val="0"/>
                <w:i w:val="0"/>
                <w:sz w:val="19"/>
              </w:rPr>
              <w:t>Exceptions and risk acceptances in force</w:t>
            </w:r>
          </w:p>
        </w:tc>
        <w:tc>
          <w:tcPr>
            <w:tcW w:type="dxa" w:w="2436"/>
          </w:tcPr>
          <w:p>
            <w:pPr>
              <w:spacing w:after="40"/>
            </w:pPr>
            <w:r>
              <w:rPr>
                <w:b w:val="0"/>
                <w:i w:val="0"/>
                <w:sz w:val="19"/>
              </w:rPr>
              <w:t>CC5.1, CC3.2</w:t>
            </w:r>
          </w:p>
        </w:tc>
        <w:tc>
          <w:tcPr>
            <w:tcW w:type="dxa" w:w="2436"/>
          </w:tcPr>
          <w:p>
            <w:pPr>
              <w:spacing w:after="40"/>
            </w:pPr>
            <w:r>
              <w:rPr>
                <w:b w:val="0"/>
                <w:i w:val="0"/>
                <w:sz w:val="19"/>
              </w:rPr>
              <w:t>GOV-REG-06; GOV-TPL-06</w:t>
            </w:r>
          </w:p>
        </w:tc>
        <w:tc>
          <w:tcPr>
            <w:tcW w:type="dxa" w:w="2436"/>
          </w:tcPr>
          <w:p>
            <w:pPr>
              <w:spacing w:after="40"/>
            </w:pPr>
            <w:r>
              <w:rPr>
                <w:b w:val="0"/>
                <w:i w:val="0"/>
                <w:sz w:val="19"/>
              </w:rPr>
              <w:t>Register export; approvals for sampled items</w:t>
            </w:r>
          </w:p>
        </w:tc>
      </w:tr>
      <w:tr>
        <w:tc>
          <w:tcPr>
            <w:tcW w:type="dxa" w:w="2436"/>
          </w:tcPr>
          <w:p>
            <w:pPr>
              <w:spacing w:after="40"/>
            </w:pPr>
            <w:r>
              <w:rPr>
                <w:b w:val="0"/>
                <w:i w:val="0"/>
                <w:sz w:val="19"/>
              </w:rPr>
              <w:t>Confidential information inventory and classification handling</w:t>
            </w:r>
          </w:p>
        </w:tc>
        <w:tc>
          <w:tcPr>
            <w:tcW w:type="dxa" w:w="2436"/>
          </w:tcPr>
          <w:p>
            <w:pPr>
              <w:spacing w:after="40"/>
            </w:pPr>
            <w:r>
              <w:rPr>
                <w:b w:val="0"/>
                <w:i w:val="0"/>
                <w:sz w:val="19"/>
              </w:rPr>
              <w:t>C1.1</w:t>
            </w:r>
          </w:p>
        </w:tc>
        <w:tc>
          <w:tcPr>
            <w:tcW w:type="dxa" w:w="2436"/>
          </w:tcPr>
          <w:p>
            <w:pPr>
              <w:spacing w:after="40"/>
            </w:pPr>
            <w:r>
              <w:rPr>
                <w:b w:val="0"/>
                <w:i w:val="0"/>
                <w:sz w:val="19"/>
              </w:rPr>
              <w:t>GOV-PRO-16; GOV-REG-10</w:t>
            </w:r>
          </w:p>
        </w:tc>
        <w:tc>
          <w:tcPr>
            <w:tcW w:type="dxa" w:w="2436"/>
          </w:tcPr>
          <w:p>
            <w:pPr>
              <w:spacing w:after="40"/>
            </w:pPr>
            <w:r>
              <w:rPr>
                <w:b w:val="0"/>
                <w:i w:val="0"/>
                <w:sz w:val="19"/>
              </w:rPr>
              <w:t>Register export with classification</w:t>
            </w:r>
          </w:p>
        </w:tc>
      </w:tr>
    </w:tbl>
    <w:p/>
    <w:p>
      <w:pPr>
        <w:pStyle w:val="Heading1"/>
      </w:pPr>
      <w:r>
        <w:t>6. Risk owner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Request</w:t>
            </w:r>
          </w:p>
        </w:tc>
        <w:tc>
          <w:tcPr>
            <w:tcW w:type="dxa" w:w="2436"/>
            <w:shd w:val="clear" w:color="auto" w:fill="EEF3F8"/>
          </w:tcPr>
          <w:p>
            <w:pPr>
              <w:spacing w:after="40"/>
            </w:pPr>
            <w:r>
              <w:rPr>
                <w:b/>
                <w:i w:val="0"/>
                <w:sz w:val="19"/>
              </w:rPr>
              <w:t>Criteria</w:t>
            </w:r>
          </w:p>
        </w:tc>
        <w:tc>
          <w:tcPr>
            <w:tcW w:type="dxa" w:w="2436"/>
            <w:shd w:val="clear" w:color="auto" w:fill="EEF3F8"/>
          </w:tcPr>
          <w:p>
            <w:pPr>
              <w:spacing w:after="40"/>
            </w:pPr>
            <w:r>
              <w:rPr>
                <w:b/>
                <w:i w:val="0"/>
                <w:sz w:val="19"/>
              </w:rPr>
              <w:t>Kit source</w:t>
            </w:r>
          </w:p>
        </w:tc>
        <w:tc>
          <w:tcPr>
            <w:tcW w:type="dxa" w:w="2436"/>
            <w:shd w:val="clear" w:color="auto" w:fill="EEF3F8"/>
          </w:tcPr>
          <w:p>
            <w:pPr>
              <w:spacing w:after="40"/>
            </w:pPr>
            <w:r>
              <w:rPr>
                <w:b/>
                <w:i w:val="0"/>
                <w:sz w:val="19"/>
              </w:rPr>
              <w:t>Deliver as</w:t>
            </w:r>
          </w:p>
        </w:tc>
      </w:tr>
      <w:tr>
        <w:tc>
          <w:tcPr>
            <w:tcW w:type="dxa" w:w="2436"/>
          </w:tcPr>
          <w:p>
            <w:pPr>
              <w:spacing w:after="40"/>
            </w:pPr>
            <w:r>
              <w:rPr>
                <w:b w:val="0"/>
                <w:i w:val="0"/>
                <w:sz w:val="19"/>
              </w:rPr>
              <w:t>Risk assessment methodology</w:t>
            </w:r>
          </w:p>
        </w:tc>
        <w:tc>
          <w:tcPr>
            <w:tcW w:type="dxa" w:w="2436"/>
          </w:tcPr>
          <w:p>
            <w:pPr>
              <w:spacing w:after="40"/>
            </w:pPr>
            <w:r>
              <w:rPr>
                <w:b w:val="0"/>
                <w:i w:val="0"/>
                <w:sz w:val="19"/>
              </w:rPr>
              <w:t>CC3.1, CC3.2</w:t>
            </w:r>
          </w:p>
        </w:tc>
        <w:tc>
          <w:tcPr>
            <w:tcW w:type="dxa" w:w="2436"/>
          </w:tcPr>
          <w:p>
            <w:pPr>
              <w:spacing w:after="40"/>
            </w:pPr>
            <w:r>
              <w:rPr>
                <w:b w:val="0"/>
                <w:i w:val="0"/>
                <w:sz w:val="19"/>
              </w:rPr>
              <w:t>GOV-PRO-05</w:t>
            </w:r>
          </w:p>
        </w:tc>
        <w:tc>
          <w:tcPr>
            <w:tcW w:type="dxa" w:w="2436"/>
          </w:tcPr>
          <w:p>
            <w:pPr>
              <w:spacing w:after="40"/>
            </w:pPr>
            <w:r>
              <w:rPr>
                <w:b w:val="0"/>
                <w:i w:val="0"/>
                <w:sz w:val="19"/>
              </w:rPr>
              <w:t>Approved version</w:t>
            </w:r>
          </w:p>
        </w:tc>
      </w:tr>
      <w:tr>
        <w:tc>
          <w:tcPr>
            <w:tcW w:type="dxa" w:w="2436"/>
          </w:tcPr>
          <w:p>
            <w:pPr>
              <w:spacing w:after="40"/>
            </w:pPr>
            <w:r>
              <w:rPr>
                <w:b w:val="0"/>
                <w:i w:val="0"/>
                <w:sz w:val="19"/>
              </w:rPr>
              <w:t>Risk register at period start and end</w:t>
            </w:r>
          </w:p>
        </w:tc>
        <w:tc>
          <w:tcPr>
            <w:tcW w:type="dxa" w:w="2436"/>
          </w:tcPr>
          <w:p>
            <w:pPr>
              <w:spacing w:after="40"/>
            </w:pPr>
            <w:r>
              <w:rPr>
                <w:b w:val="0"/>
                <w:i w:val="0"/>
                <w:sz w:val="19"/>
              </w:rPr>
              <w:t>CC3.2, CC3.3, CC3.4</w:t>
            </w:r>
          </w:p>
        </w:tc>
        <w:tc>
          <w:tcPr>
            <w:tcW w:type="dxa" w:w="2436"/>
          </w:tcPr>
          <w:p>
            <w:pPr>
              <w:spacing w:after="40"/>
            </w:pPr>
            <w:r>
              <w:rPr>
                <w:b w:val="0"/>
                <w:i w:val="0"/>
                <w:sz w:val="19"/>
              </w:rPr>
              <w:t>GOV-REG-05</w:t>
            </w:r>
          </w:p>
        </w:tc>
        <w:tc>
          <w:tcPr>
            <w:tcW w:type="dxa" w:w="2436"/>
          </w:tcPr>
          <w:p>
            <w:pPr>
              <w:spacing w:after="40"/>
            </w:pPr>
            <w:r>
              <w:rPr>
                <w:b w:val="0"/>
                <w:i w:val="0"/>
                <w:sz w:val="19"/>
              </w:rPr>
              <w:t>Dated exports showing scores, treatment and owners</w:t>
            </w:r>
          </w:p>
        </w:tc>
      </w:tr>
      <w:tr>
        <w:tc>
          <w:tcPr>
            <w:tcW w:type="dxa" w:w="2436"/>
          </w:tcPr>
          <w:p>
            <w:pPr>
              <w:spacing w:after="40"/>
            </w:pPr>
            <w:r>
              <w:rPr>
                <w:b w:val="0"/>
                <w:i w:val="0"/>
                <w:sz w:val="19"/>
              </w:rPr>
              <w:t>Evidence that fraud risk was considered</w:t>
            </w:r>
          </w:p>
        </w:tc>
        <w:tc>
          <w:tcPr>
            <w:tcW w:type="dxa" w:w="2436"/>
          </w:tcPr>
          <w:p>
            <w:pPr>
              <w:spacing w:after="40"/>
            </w:pPr>
            <w:r>
              <w:rPr>
                <w:b w:val="0"/>
                <w:i w:val="0"/>
                <w:sz w:val="19"/>
              </w:rPr>
              <w:t>CC3.3</w:t>
            </w:r>
          </w:p>
        </w:tc>
        <w:tc>
          <w:tcPr>
            <w:tcW w:type="dxa" w:w="2436"/>
          </w:tcPr>
          <w:p>
            <w:pPr>
              <w:spacing w:after="40"/>
            </w:pPr>
            <w:r>
              <w:rPr>
                <w:b w:val="0"/>
                <w:i w:val="0"/>
                <w:sz w:val="19"/>
              </w:rPr>
              <w:t>GOV-PRO-05; GOV-REG-05</w:t>
            </w:r>
          </w:p>
        </w:tc>
        <w:tc>
          <w:tcPr>
            <w:tcW w:type="dxa" w:w="2436"/>
          </w:tcPr>
          <w:p>
            <w:pPr>
              <w:spacing w:after="40"/>
            </w:pPr>
            <w:r>
              <w:rPr>
                <w:b w:val="0"/>
                <w:i w:val="0"/>
                <w:sz w:val="19"/>
              </w:rPr>
              <w:t>Fraud scenarios in the register; segregation of duties mapping</w:t>
            </w:r>
          </w:p>
        </w:tc>
      </w:tr>
      <w:tr>
        <w:tc>
          <w:tcPr>
            <w:tcW w:type="dxa" w:w="2436"/>
          </w:tcPr>
          <w:p>
            <w:pPr>
              <w:spacing w:after="40"/>
            </w:pPr>
            <w:r>
              <w:rPr>
                <w:b w:val="0"/>
                <w:i w:val="0"/>
                <w:sz w:val="19"/>
              </w:rPr>
              <w:t>Evidence that changes were assessed for risk impact</w:t>
            </w:r>
          </w:p>
        </w:tc>
        <w:tc>
          <w:tcPr>
            <w:tcW w:type="dxa" w:w="2436"/>
          </w:tcPr>
          <w:p>
            <w:pPr>
              <w:spacing w:after="40"/>
            </w:pPr>
            <w:r>
              <w:rPr>
                <w:b w:val="0"/>
                <w:i w:val="0"/>
                <w:sz w:val="19"/>
              </w:rPr>
              <w:t>CC3.4</w:t>
            </w:r>
          </w:p>
        </w:tc>
        <w:tc>
          <w:tcPr>
            <w:tcW w:type="dxa" w:w="2436"/>
          </w:tcPr>
          <w:p>
            <w:pPr>
              <w:spacing w:after="40"/>
            </w:pPr>
            <w:r>
              <w:rPr>
                <w:b w:val="0"/>
                <w:i w:val="0"/>
                <w:sz w:val="19"/>
              </w:rPr>
              <w:t>GOV-PRO-05; ISMS-PRO-01</w:t>
            </w:r>
          </w:p>
        </w:tc>
        <w:tc>
          <w:tcPr>
            <w:tcW w:type="dxa" w:w="2436"/>
          </w:tcPr>
          <w:p>
            <w:pPr>
              <w:spacing w:after="40"/>
            </w:pPr>
            <w:r>
              <w:rPr>
                <w:b w:val="0"/>
                <w:i w:val="0"/>
                <w:sz w:val="19"/>
              </w:rPr>
              <w:t>Risk review records triggered by changes in the period</w:t>
            </w:r>
          </w:p>
        </w:tc>
      </w:tr>
      <w:tr>
        <w:tc>
          <w:tcPr>
            <w:tcW w:type="dxa" w:w="2436"/>
          </w:tcPr>
          <w:p>
            <w:pPr>
              <w:spacing w:after="40"/>
            </w:pPr>
            <w:r>
              <w:rPr>
                <w:b w:val="0"/>
                <w:i w:val="0"/>
                <w:sz w:val="19"/>
              </w:rPr>
              <w:t>Treatment plans and their completion</w:t>
            </w:r>
          </w:p>
        </w:tc>
        <w:tc>
          <w:tcPr>
            <w:tcW w:type="dxa" w:w="2436"/>
          </w:tcPr>
          <w:p>
            <w:pPr>
              <w:spacing w:after="40"/>
            </w:pPr>
            <w:r>
              <w:rPr>
                <w:b w:val="0"/>
                <w:i w:val="0"/>
                <w:sz w:val="19"/>
              </w:rPr>
              <w:t>CC5.1</w:t>
            </w:r>
          </w:p>
        </w:tc>
        <w:tc>
          <w:tcPr>
            <w:tcW w:type="dxa" w:w="2436"/>
          </w:tcPr>
          <w:p>
            <w:pPr>
              <w:spacing w:after="40"/>
            </w:pPr>
            <w:r>
              <w:rPr>
                <w:b w:val="0"/>
                <w:i w:val="0"/>
                <w:sz w:val="19"/>
              </w:rPr>
              <w:t>GOV-REG-05; GOV-REG-03</w:t>
            </w:r>
          </w:p>
        </w:tc>
        <w:tc>
          <w:tcPr>
            <w:tcW w:type="dxa" w:w="2436"/>
          </w:tcPr>
          <w:p>
            <w:pPr>
              <w:spacing w:after="40"/>
            </w:pPr>
            <w:r>
              <w:rPr>
                <w:b w:val="0"/>
                <w:i w:val="0"/>
                <w:sz w:val="19"/>
              </w:rPr>
              <w:t>Export with due and completed dates</w:t>
            </w:r>
          </w:p>
        </w:tc>
      </w:tr>
      <w:tr>
        <w:tc>
          <w:tcPr>
            <w:tcW w:type="dxa" w:w="2436"/>
          </w:tcPr>
          <w:p>
            <w:pPr>
              <w:spacing w:after="40"/>
            </w:pPr>
            <w:r>
              <w:rPr>
                <w:b w:val="0"/>
                <w:i w:val="0"/>
                <w:sz w:val="19"/>
              </w:rPr>
              <w:t>Business impact analysis and continuity risk</w:t>
            </w:r>
          </w:p>
        </w:tc>
        <w:tc>
          <w:tcPr>
            <w:tcW w:type="dxa" w:w="2436"/>
          </w:tcPr>
          <w:p>
            <w:pPr>
              <w:spacing w:after="40"/>
            </w:pPr>
            <w:r>
              <w:rPr>
                <w:b w:val="0"/>
                <w:i w:val="0"/>
                <w:sz w:val="19"/>
              </w:rPr>
              <w:t>CC9.1</w:t>
            </w:r>
          </w:p>
        </w:tc>
        <w:tc>
          <w:tcPr>
            <w:tcW w:type="dxa" w:w="2436"/>
          </w:tcPr>
          <w:p>
            <w:pPr>
              <w:spacing w:after="40"/>
            </w:pPr>
            <w:r>
              <w:rPr>
                <w:b w:val="0"/>
                <w:i w:val="0"/>
                <w:sz w:val="19"/>
              </w:rPr>
              <w:t>GOV-TPL-07; GOV-PRO-13</w:t>
            </w:r>
          </w:p>
        </w:tc>
        <w:tc>
          <w:tcPr>
            <w:tcW w:type="dxa" w:w="2436"/>
          </w:tcPr>
          <w:p>
            <w:pPr>
              <w:spacing w:after="40"/>
            </w:pPr>
            <w:r>
              <w:rPr>
                <w:b w:val="0"/>
                <w:i w:val="0"/>
                <w:sz w:val="19"/>
              </w:rPr>
              <w:t>Completed worksheet; continuity strategy</w:t>
            </w:r>
          </w:p>
        </w:tc>
      </w:tr>
      <w:tr>
        <w:tc>
          <w:tcPr>
            <w:tcW w:type="dxa" w:w="2436"/>
          </w:tcPr>
          <w:p>
            <w:pPr>
              <w:spacing w:after="40"/>
            </w:pPr>
            <w:r>
              <w:rPr>
                <w:b w:val="0"/>
                <w:i w:val="0"/>
                <w:sz w:val="19"/>
              </w:rPr>
              <w:t>Supplier register with tiers and assurance status</w:t>
            </w:r>
          </w:p>
        </w:tc>
        <w:tc>
          <w:tcPr>
            <w:tcW w:type="dxa" w:w="2436"/>
          </w:tcPr>
          <w:p>
            <w:pPr>
              <w:spacing w:after="40"/>
            </w:pPr>
            <w:r>
              <w:rPr>
                <w:b w:val="0"/>
                <w:i w:val="0"/>
                <w:sz w:val="19"/>
              </w:rPr>
              <w:t>CC9.2</w:t>
            </w:r>
          </w:p>
        </w:tc>
        <w:tc>
          <w:tcPr>
            <w:tcW w:type="dxa" w:w="2436"/>
          </w:tcPr>
          <w:p>
            <w:pPr>
              <w:spacing w:after="40"/>
            </w:pPr>
            <w:r>
              <w:rPr>
                <w:b w:val="0"/>
                <w:i w:val="0"/>
                <w:sz w:val="19"/>
              </w:rPr>
              <w:t>GOV-REG-07</w:t>
            </w:r>
          </w:p>
        </w:tc>
        <w:tc>
          <w:tcPr>
            <w:tcW w:type="dxa" w:w="2436"/>
          </w:tcPr>
          <w:p>
            <w:pPr>
              <w:spacing w:after="40"/>
            </w:pPr>
            <w:r>
              <w:rPr>
                <w:b w:val="0"/>
                <w:i w:val="0"/>
                <w:sz w:val="19"/>
              </w:rPr>
              <w:t>Export with last and next review dates</w:t>
            </w:r>
          </w:p>
        </w:tc>
      </w:tr>
      <w:tr>
        <w:tc>
          <w:tcPr>
            <w:tcW w:type="dxa" w:w="2436"/>
          </w:tcPr>
          <w:p>
            <w:pPr>
              <w:spacing w:after="40"/>
            </w:pPr>
            <w:r>
              <w:rPr>
                <w:b w:val="0"/>
                <w:i w:val="0"/>
                <w:sz w:val="19"/>
              </w:rPr>
              <w:t>Due diligence for sampled suppliers</w:t>
            </w:r>
          </w:p>
        </w:tc>
        <w:tc>
          <w:tcPr>
            <w:tcW w:type="dxa" w:w="2436"/>
          </w:tcPr>
          <w:p>
            <w:pPr>
              <w:spacing w:after="40"/>
            </w:pPr>
            <w:r>
              <w:rPr>
                <w:b w:val="0"/>
                <w:i w:val="0"/>
                <w:sz w:val="19"/>
              </w:rPr>
              <w:t>CC9.2</w:t>
            </w:r>
          </w:p>
        </w:tc>
        <w:tc>
          <w:tcPr>
            <w:tcW w:type="dxa" w:w="2436"/>
          </w:tcPr>
          <w:p>
            <w:pPr>
              <w:spacing w:after="40"/>
            </w:pPr>
            <w:r>
              <w:rPr>
                <w:b w:val="0"/>
                <w:i w:val="0"/>
                <w:sz w:val="19"/>
              </w:rPr>
              <w:t>GOV-PRO-06; GOV-TPL-04</w:t>
            </w:r>
          </w:p>
        </w:tc>
        <w:tc>
          <w:tcPr>
            <w:tcW w:type="dxa" w:w="2436"/>
          </w:tcPr>
          <w:p>
            <w:pPr>
              <w:spacing w:after="40"/>
            </w:pPr>
            <w:r>
              <w:rPr>
                <w:b w:val="0"/>
                <w:i w:val="0"/>
                <w:sz w:val="19"/>
              </w:rPr>
              <w:t>Questionnaire or report review per sampled supplier</w:t>
            </w:r>
          </w:p>
        </w:tc>
      </w:tr>
      <w:tr>
        <w:tc>
          <w:tcPr>
            <w:tcW w:type="dxa" w:w="2436"/>
          </w:tcPr>
          <w:p>
            <w:pPr>
              <w:spacing w:after="40"/>
            </w:pPr>
            <w:r>
              <w:rPr>
                <w:b w:val="0"/>
                <w:i w:val="0"/>
                <w:sz w:val="19"/>
              </w:rPr>
              <w:t>Subservice organisation SOC reports, reviews and bridge letters</w:t>
            </w:r>
          </w:p>
        </w:tc>
        <w:tc>
          <w:tcPr>
            <w:tcW w:type="dxa" w:w="2436"/>
          </w:tcPr>
          <w:p>
            <w:pPr>
              <w:spacing w:after="40"/>
            </w:pPr>
            <w:r>
              <w:rPr>
                <w:b w:val="0"/>
                <w:i w:val="0"/>
                <w:sz w:val="19"/>
              </w:rPr>
              <w:t>CC9.2</w:t>
            </w:r>
          </w:p>
        </w:tc>
        <w:tc>
          <w:tcPr>
            <w:tcW w:type="dxa" w:w="2436"/>
          </w:tcPr>
          <w:p>
            <w:pPr>
              <w:spacing w:after="40"/>
            </w:pPr>
            <w:r>
              <w:rPr>
                <w:b w:val="0"/>
                <w:i w:val="0"/>
                <w:sz w:val="19"/>
              </w:rPr>
              <w:t>SOC-PRO-02</w:t>
            </w:r>
          </w:p>
        </w:tc>
        <w:tc>
          <w:tcPr>
            <w:tcW w:type="dxa" w:w="2436"/>
          </w:tcPr>
          <w:p>
            <w:pPr>
              <w:spacing w:after="40"/>
            </w:pPr>
            <w:r>
              <w:rPr>
                <w:b w:val="0"/>
                <w:i w:val="0"/>
                <w:sz w:val="19"/>
              </w:rPr>
              <w:t>Review record per subservice organisation with user entity control mapping</w:t>
            </w:r>
          </w:p>
        </w:tc>
      </w:tr>
      <w:tr>
        <w:tc>
          <w:tcPr>
            <w:tcW w:type="dxa" w:w="2436"/>
          </w:tcPr>
          <w:p>
            <w:pPr>
              <w:spacing w:after="40"/>
            </w:pPr>
            <w:r>
              <w:rPr>
                <w:b w:val="0"/>
                <w:i w:val="0"/>
                <w:sz w:val="19"/>
              </w:rPr>
              <w:t>Contracts with security and processor terms for sampled suppliers</w:t>
            </w:r>
          </w:p>
        </w:tc>
        <w:tc>
          <w:tcPr>
            <w:tcW w:type="dxa" w:w="2436"/>
          </w:tcPr>
          <w:p>
            <w:pPr>
              <w:spacing w:after="40"/>
            </w:pPr>
            <w:r>
              <w:rPr>
                <w:b w:val="0"/>
                <w:i w:val="0"/>
                <w:sz w:val="19"/>
              </w:rPr>
              <w:t>CC9.2</w:t>
            </w:r>
          </w:p>
        </w:tc>
        <w:tc>
          <w:tcPr>
            <w:tcW w:type="dxa" w:w="2436"/>
          </w:tcPr>
          <w:p>
            <w:pPr>
              <w:spacing w:after="40"/>
            </w:pPr>
            <w:r>
              <w:rPr>
                <w:b w:val="0"/>
                <w:i w:val="0"/>
                <w:sz w:val="19"/>
              </w:rPr>
              <w:t>GOV-PRO-06; PIMS-TPL-02</w:t>
            </w:r>
          </w:p>
        </w:tc>
        <w:tc>
          <w:tcPr>
            <w:tcW w:type="dxa" w:w="2436"/>
          </w:tcPr>
          <w:p>
            <w:pPr>
              <w:spacing w:after="40"/>
            </w:pPr>
            <w:r>
              <w:rPr>
                <w:b w:val="0"/>
                <w:i w:val="0"/>
                <w:sz w:val="19"/>
              </w:rPr>
              <w:t>Clause extract per sampled supplier</w:t>
            </w:r>
          </w:p>
        </w:tc>
      </w:tr>
    </w:tbl>
    <w:p/>
    <w:p>
      <w:pPr>
        <w:pStyle w:val="Heading1"/>
      </w:pPr>
      <w:r>
        <w:t>7. Privacy Officer (when the Privacy category or personal data is in scope)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Request</w:t>
            </w:r>
          </w:p>
        </w:tc>
        <w:tc>
          <w:tcPr>
            <w:tcW w:type="dxa" w:w="2436"/>
            <w:shd w:val="clear" w:color="auto" w:fill="EEF3F8"/>
          </w:tcPr>
          <w:p>
            <w:pPr>
              <w:spacing w:after="40"/>
            </w:pPr>
            <w:r>
              <w:rPr>
                <w:b/>
                <w:i w:val="0"/>
                <w:sz w:val="19"/>
              </w:rPr>
              <w:t>Criteria</w:t>
            </w:r>
          </w:p>
        </w:tc>
        <w:tc>
          <w:tcPr>
            <w:tcW w:type="dxa" w:w="2436"/>
            <w:shd w:val="clear" w:color="auto" w:fill="EEF3F8"/>
          </w:tcPr>
          <w:p>
            <w:pPr>
              <w:spacing w:after="40"/>
            </w:pPr>
            <w:r>
              <w:rPr>
                <w:b/>
                <w:i w:val="0"/>
                <w:sz w:val="19"/>
              </w:rPr>
              <w:t>Kit source</w:t>
            </w:r>
          </w:p>
        </w:tc>
        <w:tc>
          <w:tcPr>
            <w:tcW w:type="dxa" w:w="2436"/>
            <w:shd w:val="clear" w:color="auto" w:fill="EEF3F8"/>
          </w:tcPr>
          <w:p>
            <w:pPr>
              <w:spacing w:after="40"/>
            </w:pPr>
            <w:r>
              <w:rPr>
                <w:b/>
                <w:i w:val="0"/>
                <w:sz w:val="19"/>
              </w:rPr>
              <w:t>Deliver as</w:t>
            </w:r>
          </w:p>
        </w:tc>
      </w:tr>
      <w:tr>
        <w:tc>
          <w:tcPr>
            <w:tcW w:type="dxa" w:w="2436"/>
          </w:tcPr>
          <w:p>
            <w:pPr>
              <w:spacing w:after="40"/>
            </w:pPr>
            <w:r>
              <w:rPr>
                <w:b w:val="0"/>
                <w:i w:val="0"/>
                <w:sz w:val="19"/>
              </w:rPr>
              <w:t>Privacy notices in force during the period</w:t>
            </w:r>
          </w:p>
        </w:tc>
        <w:tc>
          <w:tcPr>
            <w:tcW w:type="dxa" w:w="2436"/>
          </w:tcPr>
          <w:p>
            <w:pPr>
              <w:spacing w:after="40"/>
            </w:pPr>
            <w:r>
              <w:rPr>
                <w:b w:val="0"/>
                <w:i w:val="0"/>
                <w:sz w:val="19"/>
              </w:rPr>
              <w:t>P1.1</w:t>
            </w:r>
          </w:p>
        </w:tc>
        <w:tc>
          <w:tcPr>
            <w:tcW w:type="dxa" w:w="2436"/>
          </w:tcPr>
          <w:p>
            <w:pPr>
              <w:spacing w:after="40"/>
            </w:pPr>
            <w:r>
              <w:rPr>
                <w:b w:val="0"/>
                <w:i w:val="0"/>
                <w:sz w:val="19"/>
              </w:rPr>
              <w:t>PIMS-PRO-05; GDPR-TPL-01</w:t>
            </w:r>
          </w:p>
        </w:tc>
        <w:tc>
          <w:tcPr>
            <w:tcW w:type="dxa" w:w="2436"/>
          </w:tcPr>
          <w:p>
            <w:pPr>
              <w:spacing w:after="40"/>
            </w:pPr>
            <w:r>
              <w:rPr>
                <w:b w:val="0"/>
                <w:i w:val="0"/>
                <w:sz w:val="19"/>
              </w:rPr>
              <w:t>Published versions with dates</w:t>
            </w:r>
          </w:p>
        </w:tc>
      </w:tr>
      <w:tr>
        <w:tc>
          <w:tcPr>
            <w:tcW w:type="dxa" w:w="2436"/>
          </w:tcPr>
          <w:p>
            <w:pPr>
              <w:spacing w:after="40"/>
            </w:pPr>
            <w:r>
              <w:rPr>
                <w:b w:val="0"/>
                <w:i w:val="0"/>
                <w:sz w:val="19"/>
              </w:rPr>
              <w:t>Consent records and withdrawal handling</w:t>
            </w:r>
          </w:p>
        </w:tc>
        <w:tc>
          <w:tcPr>
            <w:tcW w:type="dxa" w:w="2436"/>
          </w:tcPr>
          <w:p>
            <w:pPr>
              <w:spacing w:after="40"/>
            </w:pPr>
            <w:r>
              <w:rPr>
                <w:b w:val="0"/>
                <w:i w:val="0"/>
                <w:sz w:val="19"/>
              </w:rPr>
              <w:t>P2.1, P3.2</w:t>
            </w:r>
          </w:p>
        </w:tc>
        <w:tc>
          <w:tcPr>
            <w:tcW w:type="dxa" w:w="2436"/>
          </w:tcPr>
          <w:p>
            <w:pPr>
              <w:spacing w:after="40"/>
            </w:pPr>
            <w:r>
              <w:rPr>
                <w:b w:val="0"/>
                <w:i w:val="0"/>
                <w:sz w:val="19"/>
              </w:rPr>
              <w:t>PIMS-REG-04; GDPR-TPL-06</w:t>
            </w:r>
          </w:p>
        </w:tc>
        <w:tc>
          <w:tcPr>
            <w:tcW w:type="dxa" w:w="2436"/>
          </w:tcPr>
          <w:p>
            <w:pPr>
              <w:spacing w:after="40"/>
            </w:pPr>
            <w:r>
              <w:rPr>
                <w:b w:val="0"/>
                <w:i w:val="0"/>
                <w:sz w:val="19"/>
              </w:rPr>
              <w:t>Register export; sampled records</w:t>
            </w:r>
          </w:p>
        </w:tc>
      </w:tr>
      <w:tr>
        <w:tc>
          <w:tcPr>
            <w:tcW w:type="dxa" w:w="2436"/>
          </w:tcPr>
          <w:p>
            <w:pPr>
              <w:spacing w:after="40"/>
            </w:pPr>
            <w:r>
              <w:rPr>
                <w:b w:val="0"/>
                <w:i w:val="0"/>
                <w:sz w:val="19"/>
              </w:rPr>
              <w:t>Processing inventory</w:t>
            </w:r>
          </w:p>
        </w:tc>
        <w:tc>
          <w:tcPr>
            <w:tcW w:type="dxa" w:w="2436"/>
          </w:tcPr>
          <w:p>
            <w:pPr>
              <w:spacing w:after="40"/>
            </w:pPr>
            <w:r>
              <w:rPr>
                <w:b w:val="0"/>
                <w:i w:val="0"/>
                <w:sz w:val="19"/>
              </w:rPr>
              <w:t>P3.1, P4.1, P6.2</w:t>
            </w:r>
          </w:p>
        </w:tc>
        <w:tc>
          <w:tcPr>
            <w:tcW w:type="dxa" w:w="2436"/>
          </w:tcPr>
          <w:p>
            <w:pPr>
              <w:spacing w:after="40"/>
            </w:pPr>
            <w:r>
              <w:rPr>
                <w:b w:val="0"/>
                <w:i w:val="0"/>
                <w:sz w:val="19"/>
              </w:rPr>
              <w:t>PIMS-REG-01</w:t>
            </w:r>
          </w:p>
        </w:tc>
        <w:tc>
          <w:tcPr>
            <w:tcW w:type="dxa" w:w="2436"/>
          </w:tcPr>
          <w:p>
            <w:pPr>
              <w:spacing w:after="40"/>
            </w:pPr>
            <w:r>
              <w:rPr>
                <w:b w:val="0"/>
                <w:i w:val="0"/>
                <w:sz w:val="19"/>
              </w:rPr>
              <w:t>Export with purposes, bases and recipients</w:t>
            </w:r>
          </w:p>
        </w:tc>
      </w:tr>
      <w:tr>
        <w:tc>
          <w:tcPr>
            <w:tcW w:type="dxa" w:w="2436"/>
          </w:tcPr>
          <w:p>
            <w:pPr>
              <w:spacing w:after="40"/>
            </w:pPr>
            <w:r>
              <w:rPr>
                <w:b w:val="0"/>
                <w:i w:val="0"/>
                <w:sz w:val="19"/>
              </w:rPr>
              <w:t>Retention schedule and deletion evidence</w:t>
            </w:r>
          </w:p>
        </w:tc>
        <w:tc>
          <w:tcPr>
            <w:tcW w:type="dxa" w:w="2436"/>
          </w:tcPr>
          <w:p>
            <w:pPr>
              <w:spacing w:after="40"/>
            </w:pPr>
            <w:r>
              <w:rPr>
                <w:b w:val="0"/>
                <w:i w:val="0"/>
                <w:sz w:val="19"/>
              </w:rPr>
              <w:t>P4.2, P4.3</w:t>
            </w:r>
          </w:p>
        </w:tc>
        <w:tc>
          <w:tcPr>
            <w:tcW w:type="dxa" w:w="2436"/>
          </w:tcPr>
          <w:p>
            <w:pPr>
              <w:spacing w:after="40"/>
            </w:pPr>
            <w:r>
              <w:rPr>
                <w:b w:val="0"/>
                <w:i w:val="0"/>
                <w:sz w:val="19"/>
              </w:rPr>
              <w:t>PIMS-REG-07; PIMS-POL-02</w:t>
            </w:r>
          </w:p>
        </w:tc>
        <w:tc>
          <w:tcPr>
            <w:tcW w:type="dxa" w:w="2436"/>
          </w:tcPr>
          <w:p>
            <w:pPr>
              <w:spacing w:after="40"/>
            </w:pPr>
            <w:r>
              <w:rPr>
                <w:b w:val="0"/>
                <w:i w:val="0"/>
                <w:sz w:val="19"/>
              </w:rPr>
              <w:t>Schedule; deletion records for sampled categories</w:t>
            </w:r>
          </w:p>
        </w:tc>
      </w:tr>
      <w:tr>
        <w:tc>
          <w:tcPr>
            <w:tcW w:type="dxa" w:w="2436"/>
          </w:tcPr>
          <w:p>
            <w:pPr>
              <w:spacing w:after="40"/>
            </w:pPr>
            <w:r>
              <w:rPr>
                <w:b w:val="0"/>
                <w:i w:val="0"/>
                <w:sz w:val="19"/>
              </w:rPr>
              <w:t>Data subject requests and response times</w:t>
            </w:r>
          </w:p>
        </w:tc>
        <w:tc>
          <w:tcPr>
            <w:tcW w:type="dxa" w:w="2436"/>
          </w:tcPr>
          <w:p>
            <w:pPr>
              <w:spacing w:after="40"/>
            </w:pPr>
            <w:r>
              <w:rPr>
                <w:b w:val="0"/>
                <w:i w:val="0"/>
                <w:sz w:val="19"/>
              </w:rPr>
              <w:t>P5.1, P5.2, P6.7</w:t>
            </w:r>
          </w:p>
        </w:tc>
        <w:tc>
          <w:tcPr>
            <w:tcW w:type="dxa" w:w="2436"/>
          </w:tcPr>
          <w:p>
            <w:pPr>
              <w:spacing w:after="40"/>
            </w:pPr>
            <w:r>
              <w:rPr>
                <w:b w:val="0"/>
                <w:i w:val="0"/>
                <w:sz w:val="19"/>
              </w:rPr>
              <w:t>PIMS-REG-02; PIMS-PRO-03</w:t>
            </w:r>
          </w:p>
        </w:tc>
        <w:tc>
          <w:tcPr>
            <w:tcW w:type="dxa" w:w="2436"/>
          </w:tcPr>
          <w:p>
            <w:pPr>
              <w:spacing w:after="40"/>
            </w:pPr>
            <w:r>
              <w:rPr>
                <w:b w:val="0"/>
                <w:i w:val="0"/>
                <w:sz w:val="19"/>
              </w:rPr>
              <w:t>Register export; sampled request files</w:t>
            </w:r>
          </w:p>
        </w:tc>
      </w:tr>
      <w:tr>
        <w:tc>
          <w:tcPr>
            <w:tcW w:type="dxa" w:w="2436"/>
          </w:tcPr>
          <w:p>
            <w:pPr>
              <w:spacing w:after="40"/>
            </w:pPr>
            <w:r>
              <w:rPr>
                <w:b w:val="0"/>
                <w:i w:val="0"/>
                <w:sz w:val="19"/>
              </w:rPr>
              <w:t>Third party disclosures and processor agreements</w:t>
            </w:r>
          </w:p>
        </w:tc>
        <w:tc>
          <w:tcPr>
            <w:tcW w:type="dxa" w:w="2436"/>
          </w:tcPr>
          <w:p>
            <w:pPr>
              <w:spacing w:after="40"/>
            </w:pPr>
            <w:r>
              <w:rPr>
                <w:b w:val="0"/>
                <w:i w:val="0"/>
                <w:sz w:val="19"/>
              </w:rPr>
              <w:t>P6.1, P6.4, P6.5</w:t>
            </w:r>
          </w:p>
        </w:tc>
        <w:tc>
          <w:tcPr>
            <w:tcW w:type="dxa" w:w="2436"/>
          </w:tcPr>
          <w:p>
            <w:pPr>
              <w:spacing w:after="40"/>
            </w:pPr>
            <w:r>
              <w:rPr>
                <w:b w:val="0"/>
                <w:i w:val="0"/>
                <w:sz w:val="19"/>
              </w:rPr>
              <w:t>PIMS-REG-06; PIMS-TPL-02</w:t>
            </w:r>
          </w:p>
        </w:tc>
        <w:tc>
          <w:tcPr>
            <w:tcW w:type="dxa" w:w="2436"/>
          </w:tcPr>
          <w:p>
            <w:pPr>
              <w:spacing w:after="40"/>
            </w:pPr>
            <w:r>
              <w:rPr>
                <w:b w:val="0"/>
                <w:i w:val="0"/>
                <w:sz w:val="19"/>
              </w:rPr>
              <w:t>Register export; agreement per sampled processor</w:t>
            </w:r>
          </w:p>
        </w:tc>
      </w:tr>
      <w:tr>
        <w:tc>
          <w:tcPr>
            <w:tcW w:type="dxa" w:w="2436"/>
          </w:tcPr>
          <w:p>
            <w:pPr>
              <w:spacing w:after="40"/>
            </w:pPr>
            <w:r>
              <w:rPr>
                <w:b w:val="0"/>
                <w:i w:val="0"/>
                <w:sz w:val="19"/>
              </w:rPr>
              <w:t>Personal data breach register and notifications</w:t>
            </w:r>
          </w:p>
        </w:tc>
        <w:tc>
          <w:tcPr>
            <w:tcW w:type="dxa" w:w="2436"/>
          </w:tcPr>
          <w:p>
            <w:pPr>
              <w:spacing w:after="40"/>
            </w:pPr>
            <w:r>
              <w:rPr>
                <w:b w:val="0"/>
                <w:i w:val="0"/>
                <w:sz w:val="19"/>
              </w:rPr>
              <w:t>P6.3, P6.6</w:t>
            </w:r>
          </w:p>
        </w:tc>
        <w:tc>
          <w:tcPr>
            <w:tcW w:type="dxa" w:w="2436"/>
          </w:tcPr>
          <w:p>
            <w:pPr>
              <w:spacing w:after="40"/>
            </w:pPr>
            <w:r>
              <w:rPr>
                <w:b w:val="0"/>
                <w:i w:val="0"/>
                <w:sz w:val="19"/>
              </w:rPr>
              <w:t>PIMS-REG-03; PIMS-PRO-04</w:t>
            </w:r>
          </w:p>
        </w:tc>
        <w:tc>
          <w:tcPr>
            <w:tcW w:type="dxa" w:w="2436"/>
          </w:tcPr>
          <w:p>
            <w:pPr>
              <w:spacing w:after="40"/>
            </w:pPr>
            <w:r>
              <w:rPr>
                <w:b w:val="0"/>
                <w:i w:val="0"/>
                <w:sz w:val="19"/>
              </w:rPr>
              <w:t>Register export; notification records</w:t>
            </w:r>
          </w:p>
        </w:tc>
      </w:tr>
      <w:tr>
        <w:tc>
          <w:tcPr>
            <w:tcW w:type="dxa" w:w="2436"/>
          </w:tcPr>
          <w:p>
            <w:pPr>
              <w:spacing w:after="40"/>
            </w:pPr>
            <w:r>
              <w:rPr>
                <w:b w:val="0"/>
                <w:i w:val="0"/>
                <w:sz w:val="19"/>
              </w:rPr>
              <w:t>Accuracy controls and complaint handling</w:t>
            </w:r>
          </w:p>
        </w:tc>
        <w:tc>
          <w:tcPr>
            <w:tcW w:type="dxa" w:w="2436"/>
          </w:tcPr>
          <w:p>
            <w:pPr>
              <w:spacing w:after="40"/>
            </w:pPr>
            <w:r>
              <w:rPr>
                <w:b w:val="0"/>
                <w:i w:val="0"/>
                <w:sz w:val="19"/>
              </w:rPr>
              <w:t>P7.1, P8.1</w:t>
            </w:r>
          </w:p>
        </w:tc>
        <w:tc>
          <w:tcPr>
            <w:tcW w:type="dxa" w:w="2436"/>
          </w:tcPr>
          <w:p>
            <w:pPr>
              <w:spacing w:after="40"/>
            </w:pPr>
            <w:r>
              <w:rPr>
                <w:b w:val="0"/>
                <w:i w:val="0"/>
                <w:sz w:val="19"/>
              </w:rPr>
              <w:t>PIMS-PRO-03; PIMS-PRO-07</w:t>
            </w:r>
          </w:p>
        </w:tc>
        <w:tc>
          <w:tcPr>
            <w:tcW w:type="dxa" w:w="2436"/>
          </w:tcPr>
          <w:p>
            <w:pPr>
              <w:spacing w:after="40"/>
            </w:pPr>
            <w:r>
              <w:rPr>
                <w:b w:val="0"/>
                <w:i w:val="0"/>
                <w:sz w:val="19"/>
              </w:rPr>
              <w:t>Procedure; complaints log for the period</w:t>
            </w:r>
          </w:p>
        </w:tc>
      </w:tr>
    </w:tbl>
    <w:p/>
    <w:p>
      <w:pPr>
        <w:pStyle w:val="Heading1"/>
      </w:pPr>
      <w:r>
        <w:t>8. Requests that catch organisations out</w:t>
      </w:r>
    </w:p>
    <w:p>
      <w:pPr>
        <w:pStyle w:val="ListBullet"/>
      </w:pPr>
      <w:r>
        <w:rPr>
          <w:b w:val="0"/>
          <w:i w:val="0"/>
        </w:rPr>
        <w:t>The population reconciliation. The auditor compares the people system's leavers to the identity provider's disabled accounts, and change tickets to deployments. Reconcile both yourself before fieldwork and have an explanation for every difference.</w:t>
      </w:r>
    </w:p>
    <w:p>
      <w:pPr>
        <w:pStyle w:val="ListBullet"/>
      </w:pPr>
      <w:r>
        <w:rPr>
          <w:b w:val="0"/>
          <w:i w:val="0"/>
        </w:rPr>
        <w:t>The quarter with no access review. A review done in month four and month nine is two reviews, not four. SOC-REG-02 exists so that this is seen in month five, not at the audit.</w:t>
      </w:r>
    </w:p>
    <w:p>
      <w:pPr>
        <w:pStyle w:val="ListBullet"/>
      </w:pPr>
      <w:r>
        <w:rPr>
          <w:b w:val="0"/>
          <w:i w:val="0"/>
        </w:rPr>
        <w:t>The policy acknowledged before it was approved. Acknowledgement exports must name the version, and the version's approval date must precede the acknowledgement.</w:t>
      </w:r>
    </w:p>
    <w:p>
      <w:pPr>
        <w:pStyle w:val="ListBullet"/>
      </w:pPr>
      <w:r>
        <w:rPr>
          <w:b w:val="0"/>
          <w:i w:val="0"/>
        </w:rPr>
        <w:t>The restore test that restored nothing. A backup job success export is not a restore test. GOV-REG-15 needs a restored item, a verification and a date.</w:t>
      </w:r>
    </w:p>
    <w:p>
      <w:pPr>
        <w:pStyle w:val="ListBullet"/>
      </w:pPr>
      <w:r>
        <w:rPr>
          <w:b w:val="0"/>
          <w:i w:val="0"/>
        </w:rPr>
        <w:t>The vendor report nobody read. Having a subservice organisation's SOC report on file is not CC9.2 evidence; the SOC-PRO-02 review record is.</w:t>
      </w:r>
    </w:p>
    <w:p>
      <w:pPr>
        <w:pStyle w:val="ListBullet"/>
      </w:pPr>
      <w:r>
        <w:rPr>
          <w:b w:val="0"/>
          <w:i w:val="0"/>
        </w:rPr>
        <w:t>The incident with no post-incident review. GOV-TPL-11 within the window in GOV-PRO-07, or the control did not operate for that incident.</w:t>
      </w:r>
    </w:p>
    <w:p>
      <w:pPr>
        <w:pStyle w:val="ListBullet"/>
      </w:pPr>
      <w:r>
        <w:rPr>
          <w:b w:val="0"/>
          <w:i w:val="0"/>
        </w:rPr>
        <w:t>The screenshot with no date or account. Retake it as PB-09 section 5 describes.</w:t>
      </w:r>
    </w:p>
    <w:p>
      <w:pPr>
        <w:pStyle w:val="ListBullet"/>
      </w:pPr>
      <w:r>
        <w:rPr>
          <w:b w:val="0"/>
          <w:i w:val="0"/>
        </w:rPr>
        <w:t>The control owner who is also the tester. SOC-PRO-01 section 4 requires independence; the auditor will ask who performed each internal test.</w:t>
      </w:r>
    </w:p>
    <w:p>
      <w:pPr>
        <w:pStyle w:val="Heading1"/>
      </w:pPr>
      <w:r>
        <w:t>9. Preparing in advance</w:t>
      </w:r>
    </w:p>
    <w:p>
      <w:r>
        <w:rPr>
          <w:b w:val="0"/>
          <w:i w:val="0"/>
        </w:rPr>
        <w:t>Everything in sections 2 to 7 can be produced on the day the control runs, which is what SOC-REG-02 schedules. An organisation that files the quarterly access review export on the day the review closes, the monthly vulnerability scan on the day it completes, and the change ticket export at month end, answers the request list in a week. An organisation that starts collecting when the list arrives answers it in two months and loses items to section 8. Use SOC-REG-03 to check readiness before the period starts, and keep the owner column of SOC-REG-01 current so that every request has a name on it before the auditor asks.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SOC-GDE-02  |  Guide: the auditor's request list and how to answer it from the kit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