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GOV-POL-03</w:t>
      </w:r>
    </w:p>
    <w:p>
      <w:r>
        <w:rPr>
          <w:b/>
          <w:color w:val="0B2D4D"/>
          <w:sz w:val="44"/>
        </w:rPr>
        <w:t>Information security policy</w:t>
      </w:r>
    </w:p>
    <w:p>
      <w:r>
        <w:rPr>
          <w:i/>
          <w:color w:val="526478"/>
        </w:rPr>
        <w:t>The top-level policy, signed by the Chief Executive Officer, that states what [Organisation] commits to for information security and privacy, the principles every other document follows, and the topic policies and procedures that are mandatory.</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GOV-POL-03</w:t>
            </w:r>
          </w:p>
        </w:tc>
      </w:tr>
      <w:tr>
        <w:tc>
          <w:tcPr>
            <w:tcW w:type="dxa" w:w="2551"/>
            <w:shd w:val="clear" w:color="auto" w:fill="EEF3F8"/>
          </w:tcPr>
          <w:p>
            <w:pPr>
              <w:spacing w:after="40"/>
            </w:pPr>
            <w:r>
              <w:rPr>
                <w:b/>
                <w:sz w:val="19"/>
              </w:rPr>
              <w:t>Title</w:t>
            </w:r>
          </w:p>
        </w:tc>
        <w:tc>
          <w:tcPr>
            <w:tcW w:type="dxa" w:w="6803"/>
          </w:tcPr>
          <w:p>
            <w:pPr>
              <w:spacing w:after="40"/>
            </w:pPr>
            <w:r>
              <w:rPr>
                <w:sz w:val="19"/>
              </w:rPr>
              <w:t>Information security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5.1; ISO/IEC 27001:2022 clause 5.2; ISO/IEC 27001:2022 Annex A 5.1; SOC 2 CC1.1; GDPR Article 32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states the intent of [Organisation]'s leadership for information security and privacy. Every other policy, procedure and register in the management system derives from it and may not contradict it.</w:t>
      </w:r>
    </w:p>
    <w:p>
      <w:pPr>
        <w:pStyle w:val="Heading1"/>
      </w:pPr>
      <w:r>
        <w:t>2. Scope</w:t>
      </w:r>
    </w:p>
    <w:p>
      <w:r>
        <w:rPr>
          <w:b w:val="0"/>
          <w:i w:val="0"/>
        </w:rPr>
        <w:t>It applies to all information that [Organisation] owns, processes or is entrusted with, in any form and location; to all systems, networks and services inside the scope defined in ISMS-STM-01; and to every employee, contractor, intern and supplier representative who handles that information.</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Signs this policy, sets the risk appetite, provides resources, chairs management review.</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Maintains this policy and the topic documents, runs the risk process, reports performance.</w:t>
            </w:r>
          </w:p>
        </w:tc>
      </w:tr>
      <w:tr>
        <w:tc>
          <w:tcPr>
            <w:tcW w:type="dxa" w:w="4873"/>
          </w:tcPr>
          <w:p>
            <w:pPr>
              <w:spacing w:after="40"/>
            </w:pPr>
            <w:r>
              <w:rPr>
                <w:b w:val="0"/>
                <w:i w:val="0"/>
                <w:sz w:val="19"/>
              </w:rPr>
              <w:t>Privacy Officer</w:t>
            </w:r>
          </w:p>
        </w:tc>
        <w:tc>
          <w:tcPr>
            <w:tcW w:type="dxa" w:w="4873"/>
          </w:tcPr>
          <w:p>
            <w:pPr>
              <w:spacing w:after="40"/>
            </w:pPr>
            <w:r>
              <w:rPr>
                <w:b w:val="0"/>
                <w:i w:val="0"/>
                <w:sz w:val="19"/>
              </w:rPr>
              <w:t>Applies the policy to personal data, advises on legal duties, decides on rights requests and breach notification.</w:t>
            </w:r>
          </w:p>
        </w:tc>
      </w:tr>
      <w:tr>
        <w:tc>
          <w:tcPr>
            <w:tcW w:type="dxa" w:w="4873"/>
          </w:tcPr>
          <w:p>
            <w:pPr>
              <w:spacing w:after="40"/>
            </w:pPr>
            <w:r>
              <w:rPr>
                <w:b w:val="0"/>
                <w:i w:val="0"/>
                <w:sz w:val="19"/>
              </w:rPr>
              <w:t>Line managers</w:t>
            </w:r>
          </w:p>
        </w:tc>
        <w:tc>
          <w:tcPr>
            <w:tcW w:type="dxa" w:w="4873"/>
          </w:tcPr>
          <w:p>
            <w:pPr>
              <w:spacing w:after="40"/>
            </w:pPr>
            <w:r>
              <w:rPr>
                <w:b w:val="0"/>
                <w:i w:val="0"/>
                <w:sz w:val="19"/>
              </w:rPr>
              <w:t>Make their staff aware of the policy, check that access matches role, act on breaches.</w:t>
            </w:r>
          </w:p>
        </w:tc>
      </w:tr>
      <w:tr>
        <w:tc>
          <w:tcPr>
            <w:tcW w:type="dxa" w:w="4873"/>
          </w:tcPr>
          <w:p>
            <w:pPr>
              <w:spacing w:after="40"/>
            </w:pPr>
            <w:r>
              <w:rPr>
                <w:b w:val="0"/>
                <w:i w:val="0"/>
                <w:sz w:val="19"/>
              </w:rPr>
              <w:t>All staff and suppliers</w:t>
            </w:r>
          </w:p>
        </w:tc>
        <w:tc>
          <w:tcPr>
            <w:tcW w:type="dxa" w:w="4873"/>
          </w:tcPr>
          <w:p>
            <w:pPr>
              <w:spacing w:after="40"/>
            </w:pPr>
            <w:r>
              <w:rPr>
                <w:b w:val="0"/>
                <w:i w:val="0"/>
                <w:sz w:val="19"/>
              </w:rPr>
              <w:t>Follow the policy and the topic documents, report incidents and weaknesses.</w:t>
            </w:r>
          </w:p>
        </w:tc>
      </w:tr>
    </w:tbl>
    <w:p/>
    <w:p>
      <w:pPr>
        <w:pStyle w:val="Heading1"/>
      </w:pPr>
      <w:r>
        <w:t>4. Policy statements</w:t>
      </w:r>
    </w:p>
    <w:p>
      <w:r>
        <w:rPr>
          <w:b w:val="0"/>
          <w:i w:val="0"/>
        </w:rPr>
        <w:t xml:space="preserve">4.1 </w:t>
      </w:r>
      <w:r>
        <w:rPr>
          <w:b/>
        </w:rPr>
        <w:t>Commitment.</w:t>
      </w:r>
      <w:r>
        <w:rPr>
          <w:b w:val="0"/>
          <w:i w:val="0"/>
        </w:rPr>
        <w:t xml:space="preserve"> [Organisation] protects the confidentiality, integrity and availability of information, and the rights and freedoms of the people whose personal data it processes, in proportion to risk and in line with the legal, regulatory and contractual obligations recorded in GOV-REG-04.</w:t>
      </w:r>
    </w:p>
    <w:p>
      <w:r>
        <w:rPr>
          <w:b w:val="0"/>
          <w:i w:val="0"/>
        </w:rPr>
        <w:t xml:space="preserve">4.2 </w:t>
      </w:r>
      <w:r>
        <w:rPr>
          <w:b/>
        </w:rPr>
        <w:t>Principles.</w:t>
      </w:r>
      <w:r>
        <w:rPr>
          <w:b w:val="0"/>
          <w:i w:val="0"/>
        </w:rPr>
        <w:t xml:space="preserve"> Every control decision follows these principles: risk drives priority; least privilege and need to know govern access; security and privacy are designed in before a system or supplier is used; protection never relies on a single control; everyone is accountable for the information they handle; evidence is kept so that conformity can be shown.</w:t>
      </w:r>
    </w:p>
    <w:p>
      <w:r>
        <w:rPr>
          <w:b w:val="0"/>
          <w:i w:val="0"/>
        </w:rPr>
        <w:t xml:space="preserve">4.3 </w:t>
      </w:r>
      <w:r>
        <w:rPr>
          <w:b/>
        </w:rPr>
        <w:t>Objectives.</w:t>
      </w:r>
      <w:r>
        <w:rPr>
          <w:b w:val="0"/>
          <w:i w:val="0"/>
        </w:rPr>
        <w:t xml:space="preserve"> The Chief Executive Officer approves measurable information security objectives at least annually through ISMS-PLN-01. Each objective has a measure, a target, an owner and a reporting frequency recorded in GOV-REG-21. The Information Security Manager reports progress to the steering committee quarterly and to management review.</w:t>
      </w:r>
    </w:p>
    <w:p>
      <w:r>
        <w:rPr>
          <w:b w:val="0"/>
          <w:i w:val="0"/>
        </w:rPr>
        <w:t xml:space="preserve">4.4 </w:t>
      </w:r>
      <w:r>
        <w:rPr>
          <w:b/>
        </w:rPr>
        <w:t>Risk management.</w:t>
      </w:r>
      <w:r>
        <w:rPr>
          <w:b w:val="0"/>
          <w:i w:val="0"/>
        </w:rPr>
        <w:t xml:space="preserve"> Risks to information are identified, assessed, treated and reviewed using GOV-PRO-05. A risk above the appetite approved by the Chief Executive Officer is treated or formally accepted under GOV-PRO-24; it is never left unrecorded.</w:t>
      </w:r>
    </w:p>
    <w:p>
      <w:r>
        <w:rPr>
          <w:b w:val="0"/>
          <w:i w:val="0"/>
        </w:rPr>
        <w:t xml:space="preserve">4.5 </w:t>
      </w:r>
      <w:r>
        <w:rPr>
          <w:b/>
        </w:rPr>
        <w:t>Legal and contractual compliance.</w:t>
      </w:r>
      <w:r>
        <w:rPr>
          <w:b w:val="0"/>
          <w:i w:val="0"/>
        </w:rPr>
        <w:t xml:space="preserve"> The organisation identifies and meets its obligations under GOV-PRO-25, including the security of processing required by GDPR Article 32 and the security terms it has accepted from customers.</w:t>
      </w:r>
    </w:p>
    <w:p>
      <w:r>
        <w:rPr>
          <w:b w:val="0"/>
          <w:i w:val="0"/>
        </w:rPr>
        <w:t xml:space="preserve">4.6 </w:t>
      </w:r>
      <w:r>
        <w:rPr>
          <w:b/>
        </w:rPr>
        <w:t>Mandatory topic policies.</w:t>
      </w:r>
      <w:r>
        <w:rPr>
          <w:b w:val="0"/>
          <w:i w:val="0"/>
        </w:rPr>
        <w:t xml:space="preserve"> The following documents carry the force of this policy and bind everyone within their scope.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Document</w:t>
            </w:r>
          </w:p>
        </w:tc>
        <w:tc>
          <w:tcPr>
            <w:tcW w:type="dxa" w:w="4873"/>
            <w:shd w:val="clear" w:color="auto" w:fill="EEF3F8"/>
          </w:tcPr>
          <w:p>
            <w:pPr>
              <w:spacing w:after="40"/>
            </w:pPr>
            <w:r>
              <w:rPr>
                <w:b/>
                <w:i w:val="0"/>
                <w:sz w:val="19"/>
              </w:rPr>
              <w:t>Topic</w:t>
            </w:r>
          </w:p>
        </w:tc>
      </w:tr>
      <w:tr>
        <w:tc>
          <w:tcPr>
            <w:tcW w:type="dxa" w:w="4873"/>
          </w:tcPr>
          <w:p>
            <w:pPr>
              <w:spacing w:after="40"/>
            </w:pPr>
            <w:r>
              <w:rPr>
                <w:b w:val="0"/>
                <w:i w:val="0"/>
                <w:sz w:val="19"/>
              </w:rPr>
              <w:t>GOV-POL-01</w:t>
            </w:r>
          </w:p>
        </w:tc>
        <w:tc>
          <w:tcPr>
            <w:tcW w:type="dxa" w:w="4873"/>
          </w:tcPr>
          <w:p>
            <w:pPr>
              <w:spacing w:after="40"/>
            </w:pPr>
            <w:r>
              <w:rPr>
                <w:b w:val="0"/>
                <w:i w:val="0"/>
                <w:sz w:val="19"/>
              </w:rPr>
              <w:t>Governance framework, roles and decision rights</w:t>
            </w:r>
          </w:p>
        </w:tc>
      </w:tr>
      <w:tr>
        <w:tc>
          <w:tcPr>
            <w:tcW w:type="dxa" w:w="4873"/>
          </w:tcPr>
          <w:p>
            <w:pPr>
              <w:spacing w:after="40"/>
            </w:pPr>
            <w:r>
              <w:rPr>
                <w:b w:val="0"/>
                <w:i w:val="0"/>
                <w:sz w:val="19"/>
              </w:rPr>
              <w:t>GOV-POL-02</w:t>
            </w:r>
          </w:p>
        </w:tc>
        <w:tc>
          <w:tcPr>
            <w:tcW w:type="dxa" w:w="4873"/>
          </w:tcPr>
          <w:p>
            <w:pPr>
              <w:spacing w:after="40"/>
            </w:pPr>
            <w:r>
              <w:rPr>
                <w:b w:val="0"/>
                <w:i w:val="0"/>
                <w:sz w:val="19"/>
              </w:rPr>
              <w:t>Acceptable use of devices, accounts and services</w:t>
            </w:r>
          </w:p>
        </w:tc>
      </w:tr>
      <w:tr>
        <w:tc>
          <w:tcPr>
            <w:tcW w:type="dxa" w:w="4873"/>
          </w:tcPr>
          <w:p>
            <w:pPr>
              <w:spacing w:after="40"/>
            </w:pPr>
            <w:r>
              <w:rPr>
                <w:b w:val="0"/>
                <w:i w:val="0"/>
                <w:sz w:val="19"/>
              </w:rPr>
              <w:t>GOV-POL-04</w:t>
            </w:r>
          </w:p>
        </w:tc>
        <w:tc>
          <w:tcPr>
            <w:tcW w:type="dxa" w:w="4873"/>
          </w:tcPr>
          <w:p>
            <w:pPr>
              <w:spacing w:after="40"/>
            </w:pPr>
            <w:r>
              <w:rPr>
                <w:b w:val="0"/>
                <w:i w:val="0"/>
                <w:sz w:val="19"/>
              </w:rPr>
              <w:t>Clear desk and clear screen</w:t>
            </w:r>
          </w:p>
        </w:tc>
      </w:tr>
      <w:tr>
        <w:tc>
          <w:tcPr>
            <w:tcW w:type="dxa" w:w="4873"/>
          </w:tcPr>
          <w:p>
            <w:pPr>
              <w:spacing w:after="40"/>
            </w:pPr>
            <w:r>
              <w:rPr>
                <w:b w:val="0"/>
                <w:i w:val="0"/>
                <w:sz w:val="19"/>
              </w:rPr>
              <w:t>GOV-POL-05</w:t>
            </w:r>
          </w:p>
        </w:tc>
        <w:tc>
          <w:tcPr>
            <w:tcW w:type="dxa" w:w="4873"/>
          </w:tcPr>
          <w:p>
            <w:pPr>
              <w:spacing w:after="40"/>
            </w:pPr>
            <w:r>
              <w:rPr>
                <w:b w:val="0"/>
                <w:i w:val="0"/>
                <w:sz w:val="19"/>
              </w:rPr>
              <w:t>Remote and mobile working</w:t>
            </w:r>
          </w:p>
        </w:tc>
      </w:tr>
      <w:tr>
        <w:tc>
          <w:tcPr>
            <w:tcW w:type="dxa" w:w="4873"/>
          </w:tcPr>
          <w:p>
            <w:pPr>
              <w:spacing w:after="40"/>
            </w:pPr>
            <w:r>
              <w:rPr>
                <w:b w:val="0"/>
                <w:i w:val="0"/>
                <w:sz w:val="19"/>
              </w:rPr>
              <w:t>GOV-POL-06</w:t>
            </w:r>
          </w:p>
        </w:tc>
        <w:tc>
          <w:tcPr>
            <w:tcW w:type="dxa" w:w="4873"/>
          </w:tcPr>
          <w:p>
            <w:pPr>
              <w:spacing w:after="40"/>
            </w:pPr>
            <w:r>
              <w:rPr>
                <w:b w:val="0"/>
                <w:i w:val="0"/>
                <w:sz w:val="19"/>
              </w:rPr>
              <w:t>Authentication, passwords and multi-factor</w:t>
            </w:r>
          </w:p>
        </w:tc>
      </w:tr>
      <w:tr>
        <w:tc>
          <w:tcPr>
            <w:tcW w:type="dxa" w:w="4873"/>
          </w:tcPr>
          <w:p>
            <w:pPr>
              <w:spacing w:after="40"/>
            </w:pPr>
            <w:r>
              <w:rPr>
                <w:b w:val="0"/>
                <w:i w:val="0"/>
                <w:sz w:val="19"/>
              </w:rPr>
              <w:t>PIMS-POL-01</w:t>
            </w:r>
          </w:p>
        </w:tc>
        <w:tc>
          <w:tcPr>
            <w:tcW w:type="dxa" w:w="4873"/>
          </w:tcPr>
          <w:p>
            <w:pPr>
              <w:spacing w:after="40"/>
            </w:pPr>
            <w:r>
              <w:rPr>
                <w:b w:val="0"/>
                <w:i w:val="0"/>
                <w:sz w:val="19"/>
              </w:rPr>
              <w:t>Privacy information management</w:t>
            </w:r>
          </w:p>
        </w:tc>
      </w:tr>
      <w:tr>
        <w:tc>
          <w:tcPr>
            <w:tcW w:type="dxa" w:w="4873"/>
          </w:tcPr>
          <w:p>
            <w:pPr>
              <w:spacing w:after="40"/>
            </w:pPr>
            <w:r>
              <w:rPr>
                <w:b w:val="0"/>
                <w:i w:val="0"/>
                <w:sz w:val="19"/>
              </w:rPr>
              <w:t>PIMS-POL-02</w:t>
            </w:r>
          </w:p>
        </w:tc>
        <w:tc>
          <w:tcPr>
            <w:tcW w:type="dxa" w:w="4873"/>
          </w:tcPr>
          <w:p>
            <w:pPr>
              <w:spacing w:after="40"/>
            </w:pPr>
            <w:r>
              <w:rPr>
                <w:b w:val="0"/>
                <w:i w:val="0"/>
                <w:sz w:val="19"/>
              </w:rPr>
              <w:t>Data retention and disposal</w:t>
            </w:r>
          </w:p>
        </w:tc>
      </w:tr>
      <w:tr>
        <w:tc>
          <w:tcPr>
            <w:tcW w:type="dxa" w:w="4873"/>
          </w:tcPr>
          <w:p>
            <w:pPr>
              <w:spacing w:after="40"/>
            </w:pPr>
            <w:r>
              <w:rPr>
                <w:b w:val="0"/>
                <w:i w:val="0"/>
                <w:sz w:val="19"/>
              </w:rPr>
              <w:t>PIMS-POL-03</w:t>
            </w:r>
          </w:p>
        </w:tc>
        <w:tc>
          <w:tcPr>
            <w:tcW w:type="dxa" w:w="4873"/>
          </w:tcPr>
          <w:p>
            <w:pPr>
              <w:spacing w:after="40"/>
            </w:pPr>
            <w:r>
              <w:rPr>
                <w:b w:val="0"/>
                <w:i w:val="0"/>
                <w:sz w:val="19"/>
              </w:rPr>
              <w:t>International transfer of personal data</w:t>
            </w:r>
          </w:p>
        </w:tc>
      </w:tr>
      <w:tr>
        <w:tc>
          <w:tcPr>
            <w:tcW w:type="dxa" w:w="4873"/>
          </w:tcPr>
          <w:p>
            <w:pPr>
              <w:spacing w:after="40"/>
            </w:pPr>
            <w:r>
              <w:rPr>
                <w:b w:val="0"/>
                <w:i w:val="0"/>
                <w:sz w:val="19"/>
              </w:rPr>
              <w:t>GDPR-POL-01</w:t>
            </w:r>
          </w:p>
        </w:tc>
        <w:tc>
          <w:tcPr>
            <w:tcW w:type="dxa" w:w="4873"/>
          </w:tcPr>
          <w:p>
            <w:pPr>
              <w:spacing w:after="40"/>
            </w:pPr>
            <w:r>
              <w:rPr>
                <w:b w:val="0"/>
                <w:i w:val="0"/>
                <w:sz w:val="19"/>
              </w:rPr>
              <w:t>Data protection</w:t>
            </w:r>
          </w:p>
        </w:tc>
      </w:tr>
      <w:tr>
        <w:tc>
          <w:tcPr>
            <w:tcW w:type="dxa" w:w="4873"/>
          </w:tcPr>
          <w:p>
            <w:pPr>
              <w:spacing w:after="40"/>
            </w:pPr>
            <w:r>
              <w:rPr>
                <w:b w:val="0"/>
                <w:i w:val="0"/>
                <w:sz w:val="19"/>
              </w:rPr>
              <w:t>AI-POL-01</w:t>
            </w:r>
          </w:p>
        </w:tc>
        <w:tc>
          <w:tcPr>
            <w:tcW w:type="dxa" w:w="4873"/>
          </w:tcPr>
          <w:p>
            <w:pPr>
              <w:spacing w:after="40"/>
            </w:pPr>
            <w:r>
              <w:rPr>
                <w:b w:val="0"/>
                <w:i w:val="0"/>
                <w:sz w:val="19"/>
              </w:rPr>
              <w:t>Acceptable use of AI tools</w:t>
            </w:r>
          </w:p>
        </w:tc>
      </w:tr>
      <w:tr>
        <w:tc>
          <w:tcPr>
            <w:tcW w:type="dxa" w:w="4873"/>
          </w:tcPr>
          <w:p>
            <w:pPr>
              <w:spacing w:after="40"/>
            </w:pPr>
            <w:r>
              <w:rPr>
                <w:b w:val="0"/>
                <w:i w:val="0"/>
                <w:sz w:val="19"/>
              </w:rPr>
              <w:t>AI-POL-02</w:t>
            </w:r>
          </w:p>
        </w:tc>
        <w:tc>
          <w:tcPr>
            <w:tcW w:type="dxa" w:w="4873"/>
          </w:tcPr>
          <w:p>
            <w:pPr>
              <w:spacing w:after="40"/>
            </w:pPr>
            <w:r>
              <w:rPr>
                <w:b w:val="0"/>
                <w:i w:val="0"/>
                <w:sz w:val="19"/>
              </w:rPr>
              <w:t>AI system development, procurement and deployment</w:t>
            </w:r>
          </w:p>
        </w:tc>
      </w:tr>
      <w:tr>
        <w:tc>
          <w:tcPr>
            <w:tcW w:type="dxa" w:w="4873"/>
          </w:tcPr>
          <w:p>
            <w:pPr>
              <w:spacing w:after="40"/>
            </w:pPr>
            <w:r>
              <w:rPr>
                <w:b w:val="0"/>
                <w:i w:val="0"/>
                <w:sz w:val="19"/>
              </w:rPr>
              <w:t>SOC-POL-01</w:t>
            </w:r>
          </w:p>
        </w:tc>
        <w:tc>
          <w:tcPr>
            <w:tcW w:type="dxa" w:w="4873"/>
          </w:tcPr>
          <w:p>
            <w:pPr>
              <w:spacing w:after="40"/>
            </w:pPr>
            <w:r>
              <w:rPr>
                <w:b w:val="0"/>
                <w:i w:val="0"/>
                <w:sz w:val="19"/>
              </w:rPr>
              <w:t>Processing integrity, where that category is in scope</w:t>
            </w:r>
          </w:p>
        </w:tc>
      </w:tr>
    </w:tbl>
    <w:p/>
    <w:p>
      <w:r>
        <w:rPr>
          <w:b w:val="0"/>
          <w:i w:val="0"/>
        </w:rPr>
        <w:t xml:space="preserve">4.7 </w:t>
      </w:r>
      <w:r>
        <w:rPr>
          <w:b/>
        </w:rPr>
        <w:t>Mandatory operating procedures.</w:t>
      </w:r>
      <w:r>
        <w:rPr>
          <w:b w:val="0"/>
          <w:i w:val="0"/>
        </w:rPr>
        <w:t xml:space="preserve"> Access management (GOV-PRO-10), asset classification and handling (GOV-PRO-16), change management (GOV-PRO-09), vulnerability and patch management (GOV-PRO-11), backup (GOV-PRO-12), business continuity (GOV-PRO-13), logging and monitoring (GOV-PRO-14), secure development (GOV-PRO-15), cryptography (GOV-PRO-20), supplier security (GOV-PRO-06) and incident management (GOV-PRO-07) are operated as written. A deviation needs an approved exception under GOV-PRO-24.</w:t>
      </w:r>
    </w:p>
    <w:p>
      <w:r>
        <w:rPr>
          <w:b w:val="0"/>
          <w:i w:val="0"/>
        </w:rPr>
        <w:t xml:space="preserve">4.8 </w:t>
      </w:r>
      <w:r>
        <w:rPr>
          <w:b/>
        </w:rPr>
        <w:t>People.</w:t>
      </w:r>
      <w:r>
        <w:rPr>
          <w:b w:val="0"/>
          <w:i w:val="0"/>
        </w:rPr>
        <w:t xml:space="preserve"> Every person receives security and privacy induction within [Number] working days of starting and refresher training at least annually under GOV-PRO-08, and confirms in writing that they have read this policy and GOV-POL-02. Acknowledgements are recorded in GOV-REG-23.</w:t>
      </w:r>
    </w:p>
    <w:p>
      <w:r>
        <w:rPr>
          <w:b w:val="0"/>
          <w:i w:val="0"/>
        </w:rPr>
        <w:t xml:space="preserve">4.9 </w:t>
      </w:r>
      <w:r>
        <w:rPr>
          <w:b/>
        </w:rPr>
        <w:t>Incidents.</w:t>
      </w:r>
      <w:r>
        <w:rPr>
          <w:b w:val="0"/>
          <w:i w:val="0"/>
        </w:rPr>
        <w:t xml:space="preserve"> Everyone reports a suspected incident or weakness immediately through the channel in GOV-PRO-07. No one is penalised for a report made in good faith.</w:t>
      </w:r>
    </w:p>
    <w:p>
      <w:r>
        <w:rPr>
          <w:b w:val="0"/>
          <w:i w:val="0"/>
        </w:rPr>
        <w:t xml:space="preserve">4.10 </w:t>
      </w:r>
      <w:r>
        <w:rPr>
          <w:b/>
        </w:rPr>
        <w:t>Consequences.</w:t>
      </w:r>
      <w:r>
        <w:rPr>
          <w:b w:val="0"/>
          <w:i w:val="0"/>
        </w:rPr>
        <w:t xml:space="preserve"> A breach of this policy or of a topic document is handled under the disciplinary process in GOV-PRO-18 for staff and under the contract for suppliers. A deliberate or negligent breach may lead to dismissal or termination of contract and, where the law requires it, to referral to the authorities.</w:t>
      </w:r>
    </w:p>
    <w:p>
      <w:r>
        <w:rPr>
          <w:b w:val="0"/>
          <w:i w:val="0"/>
        </w:rPr>
        <w:t xml:space="preserve">4.11 </w:t>
      </w:r>
      <w:r>
        <w:rPr>
          <w:b/>
        </w:rPr>
        <w:t>Communication.</w:t>
      </w:r>
      <w:r>
        <w:rPr>
          <w:b w:val="0"/>
          <w:i w:val="0"/>
        </w:rPr>
        <w:t xml:space="preserve"> The Information Security Manager publishes this policy in the approved document location, includes it in induction, and makes it available to interested parties on request. A summary suitable for customers and suppliers is maintained alongside it.</w:t>
      </w:r>
    </w:p>
    <w:p>
      <w:r>
        <w:rPr>
          <w:b w:val="0"/>
          <w:i w:val="0"/>
        </w:rPr>
        <w:t xml:space="preserve">4.12 </w:t>
      </w:r>
      <w:r>
        <w:rPr>
          <w:b/>
        </w:rPr>
        <w:t>Continual improvement.</w:t>
      </w:r>
      <w:r>
        <w:rPr>
          <w:b w:val="0"/>
          <w:i w:val="0"/>
        </w:rPr>
        <w:t xml:space="preserve"> Nonconformities, incident lessons, audit results and measurement results feed corrective action under GOV-PRO-04 and management review under GOV-PRO-03.</w:t>
      </w:r>
    </w:p>
    <w:p>
      <w:pPr>
        <w:pStyle w:val="Heading1"/>
      </w:pPr>
      <w:r>
        <w:t>5. Records and evidence</w:t>
      </w:r>
    </w:p>
    <w:p>
      <w:pPr>
        <w:pStyle w:val="ListBullet"/>
      </w:pPr>
      <w:r>
        <w:rPr>
          <w:b w:val="0"/>
          <w:i w:val="0"/>
        </w:rPr>
        <w:t>The signed copy of this policy and its revision history in GOV-REG-01.</w:t>
      </w:r>
    </w:p>
    <w:p>
      <w:pPr>
        <w:pStyle w:val="ListBullet"/>
      </w:pPr>
      <w:r>
        <w:rPr>
          <w:b w:val="0"/>
          <w:i w:val="0"/>
        </w:rPr>
        <w:t>GOV-REG-23 Policy acknowledgement register.</w:t>
      </w:r>
    </w:p>
    <w:p>
      <w:pPr>
        <w:pStyle w:val="ListBullet"/>
      </w:pPr>
      <w:r>
        <w:rPr>
          <w:b w:val="0"/>
          <w:i w:val="0"/>
        </w:rPr>
        <w:t>GOV-REG-21 Security objectives and measures tracker.</w:t>
      </w:r>
    </w:p>
    <w:p>
      <w:pPr>
        <w:pStyle w:val="ListBullet"/>
      </w:pPr>
      <w:r>
        <w:rPr>
          <w:b w:val="0"/>
          <w:i w:val="0"/>
        </w:rPr>
        <w:t>Management review minutes (GOV-TPL-03) recording the annual review of this policy.</w:t>
      </w:r>
    </w:p>
    <w:p>
      <w:pPr>
        <w:pStyle w:val="Heading1"/>
      </w:pPr>
      <w:r>
        <w:t>6. Exceptions</w:t>
      </w:r>
    </w:p>
    <w:p>
      <w:r>
        <w:rPr>
          <w:b w:val="0"/>
          <w:i w:val="0"/>
        </w:rPr>
        <w:t>No exception to this policy is permitted. Exceptions to topic policies and procedures follow GOV-PRO-24.</w:t>
      </w:r>
    </w:p>
    <w:p>
      <w:pPr>
        <w:pStyle w:val="Heading1"/>
      </w:pPr>
      <w:r>
        <w:t>7. Review and maintenance</w:t>
      </w:r>
    </w:p>
    <w:p>
      <w:r>
        <w:rPr>
          <w:b w:val="0"/>
          <w:i w:val="0"/>
        </w:rPr>
        <w:t>The Information Security Manager reviews this policy annually, and earlier after a major incident, a change in law or contract that affects it, a change in scope, or an audit finding about leadership. The Chief Executive Officer signs the policy again after every change of meaning.</w:t>
      </w:r>
    </w:p>
    <w:p>
      <w:r>
        <w:rPr>
          <w:b w:val="0"/>
          <w:i w:val="0"/>
        </w:rPr>
        <w:t>Approved and signed by the Chief Executive Officer: [Name], version [Number], [Date].</w:t>
      </w:r>
    </w:p>
    <w:p>
      <w:pPr>
        <w:pStyle w:val="Heading1"/>
      </w:pPr>
      <w:r>
        <w:t>8. Related documents</w:t>
      </w:r>
    </w:p>
    <w:p>
      <w:pPr>
        <w:pStyle w:val="ListBullet"/>
      </w:pPr>
      <w:r>
        <w:rPr>
          <w:b w:val="0"/>
          <w:i w:val="0"/>
        </w:rPr>
        <w:t>GOV-POL-01 Information security and privacy governance framework</w:t>
      </w:r>
    </w:p>
    <w:p>
      <w:pPr>
        <w:pStyle w:val="ListBullet"/>
      </w:pPr>
      <w:r>
        <w:rPr>
          <w:b w:val="0"/>
          <w:i w:val="0"/>
        </w:rPr>
        <w:t>GOV-STM-01 Top management commitment statement</w:t>
      </w:r>
    </w:p>
    <w:p>
      <w:pPr>
        <w:pStyle w:val="ListBullet"/>
      </w:pPr>
      <w:r>
        <w:rPr>
          <w:b w:val="0"/>
          <w:i w:val="0"/>
        </w:rPr>
        <w:t>GOV-PRO-03 Management review procedure</w:t>
      </w:r>
    </w:p>
    <w:p>
      <w:pPr>
        <w:pStyle w:val="ListBullet"/>
      </w:pPr>
      <w:r>
        <w:rPr>
          <w:b w:val="0"/>
          <w:i w:val="0"/>
        </w:rPr>
        <w:t>GOV-PRO-04 Nonconformity and corrective action procedure</w:t>
      </w:r>
    </w:p>
    <w:p>
      <w:pPr>
        <w:pStyle w:val="ListBullet"/>
      </w:pPr>
      <w:r>
        <w:rPr>
          <w:b w:val="0"/>
          <w:i w:val="0"/>
        </w:rPr>
        <w:t>GOV-PRO-05 Risk assessment and treatment methodology</w:t>
      </w:r>
    </w:p>
    <w:p>
      <w:pPr>
        <w:pStyle w:val="ListBullet"/>
      </w:pPr>
      <w:r>
        <w:rPr>
          <w:b w:val="0"/>
          <w:i w:val="0"/>
        </w:rPr>
        <w:t>GOV-PRO-24 Exception and risk acceptance procedure</w:t>
      </w:r>
    </w:p>
    <w:p>
      <w:pPr>
        <w:pStyle w:val="ListBullet"/>
      </w:pPr>
      <w:r>
        <w:rPr>
          <w:b w:val="0"/>
          <w:i w:val="0"/>
        </w:rPr>
        <w:t>GOV-PRO-25 Legal, regulatory and contractual compliance procedure</w:t>
      </w:r>
    </w:p>
    <w:p>
      <w:pPr>
        <w:pStyle w:val="ListBullet"/>
      </w:pPr>
      <w:r>
        <w:rPr>
          <w:b w:val="0"/>
          <w:i w:val="0"/>
        </w:rPr>
        <w:t>ISMS-STM-01 ISMS scope statement</w:t>
      </w:r>
    </w:p>
    <w:p>
      <w:pPr>
        <w:pStyle w:val="ListBullet"/>
      </w:pPr>
      <w:r>
        <w:rPr>
          <w:b w:val="0"/>
          <w:i w:val="0"/>
        </w:rPr>
        <w:t>ISMS-PLN-01 Information security objectives and plan</w:t>
      </w:r>
    </w:p>
    <w:p>
      <w:pPr>
        <w:pStyle w:val="ListBullet"/>
      </w:pPr>
      <w:r>
        <w:rPr>
          <w:b w:val="0"/>
          <w:i w:val="0"/>
        </w:rPr>
        <w:t>GOV-REG-21 Security objectives and measures tracker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GOV-POL-03  |  Information security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