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GOV-PRO-03</w:t>
      </w:r>
    </w:p>
    <w:p>
      <w:r>
        <w:rPr>
          <w:b/>
          <w:color w:val="0B2D4D"/>
          <w:sz w:val="44"/>
        </w:rPr>
        <w:t>Management review procedure</w:t>
      </w:r>
    </w:p>
    <w:p>
      <w:r>
        <w:rPr>
          <w:i/>
          <w:color w:val="526478"/>
        </w:rPr>
        <w:t>How top management reviews the management system at planned intervals, which inputs must be considered, which outputs must be decided, and how the resulting actions are recorded and tracked to completion.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GOV-PRO-03</w:t>
            </w:r>
          </w:p>
        </w:tc>
      </w:tr>
      <w:tr>
        <w:tc>
          <w:tcPr>
            <w:tcW w:type="dxa" w:w="2551"/>
            <w:shd w:val="clear" w:color="auto" w:fill="EEF3F8"/>
          </w:tcPr>
          <w:p>
            <w:pPr>
              <w:spacing w:after="40"/>
            </w:pPr>
            <w:r>
              <w:rPr>
                <w:b/>
                <w:sz w:val="19"/>
              </w:rPr>
              <w:t>Title</w:t>
            </w:r>
          </w:p>
        </w:tc>
        <w:tc>
          <w:tcPr>
            <w:tcW w:type="dxa" w:w="6803"/>
          </w:tcPr>
          <w:p>
            <w:pPr>
              <w:spacing w:after="40"/>
            </w:pPr>
            <w:r>
              <w:rPr>
                <w:sz w:val="19"/>
              </w:rPr>
              <w:t>Management review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9.3; ISO/IEC 27001:2022 clause 9.3.2; ISO/IEC 27001:2022 clause 9.3.3; SOC 2 CC1.2; SOC 2 CC4.1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Management review is where leadership judges whether the management system is still suitable, adequate and effective, and decides what to change and what to fund. This procedure makes the review repeatable and its decisions traceable.</w:t>
      </w:r>
    </w:p>
    <w:p>
      <w:pPr>
        <w:pStyle w:val="Heading1"/>
      </w:pPr>
      <w:r>
        <w:t>2. Scope</w:t>
      </w:r>
    </w:p>
    <w:p>
      <w:r>
        <w:rPr>
          <w:b w:val="0"/>
          <w:i w:val="0"/>
        </w:rPr>
        <w:t>It applies to every management review of the information security and privacy management system, including the privacy elements under ISO/IEC 27701 and the SOC 2 criteria in scope. Steering committee meetings under GOV-POL-01 are not management reviews unless they follow this procedure in full.</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Chairs the review, takes the decisions, approves the minutes.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Prepares the input pack, acts as secretary, logs and tracks actions in GOV-REG-22.</w:t>
            </w:r>
          </w:p>
        </w:tc>
      </w:tr>
      <w:tr>
        <w:tc>
          <w:tcPr>
            <w:tcW w:type="dxa" w:w="4873"/>
          </w:tcPr>
          <w:p>
            <w:pPr>
              <w:spacing w:after="40"/>
            </w:pPr>
            <w:r>
              <w:rPr>
                <w:b w:val="0"/>
                <w:i w:val="0"/>
                <w:sz w:val="19"/>
              </w:rPr>
              <w:t>Privacy Officer</w:t>
            </w:r>
          </w:p>
        </w:tc>
        <w:tc>
          <w:tcPr>
            <w:tcW w:type="dxa" w:w="4873"/>
          </w:tcPr>
          <w:p>
            <w:pPr>
              <w:spacing w:after="40"/>
            </w:pPr>
            <w:r>
              <w:rPr>
                <w:b w:val="0"/>
                <w:i w:val="0"/>
                <w:sz w:val="19"/>
              </w:rPr>
              <w:t>Presents the privacy inputs and the status of data subject rights and breaches.</w:t>
            </w:r>
          </w:p>
        </w:tc>
      </w:tr>
      <w:tr>
        <w:tc>
          <w:tcPr>
            <w:tcW w:type="dxa" w:w="4873"/>
          </w:tcPr>
          <w:p>
            <w:pPr>
              <w:spacing w:after="40"/>
            </w:pPr>
            <w:r>
              <w:rPr>
                <w:b w:val="0"/>
                <w:i w:val="0"/>
                <w:sz w:val="19"/>
              </w:rPr>
              <w:t>Heads of function (Engineering, Operations, Human Resources, Finance)</w:t>
            </w:r>
          </w:p>
        </w:tc>
        <w:tc>
          <w:tcPr>
            <w:tcW w:type="dxa" w:w="4873"/>
          </w:tcPr>
          <w:p>
            <w:pPr>
              <w:spacing w:after="40"/>
            </w:pPr>
            <w:r>
              <w:rPr>
                <w:b w:val="0"/>
                <w:i w:val="0"/>
                <w:sz w:val="19"/>
              </w:rPr>
              <w:t>Attend, present inputs for their area, own the actions assigned to them.</w:t>
            </w:r>
          </w:p>
        </w:tc>
      </w:tr>
      <w:tr>
        <w:tc>
          <w:tcPr>
            <w:tcW w:type="dxa" w:w="4873"/>
          </w:tcPr>
          <w:p>
            <w:pPr>
              <w:spacing w:after="40"/>
            </w:pPr>
            <w:r>
              <w:rPr>
                <w:b w:val="0"/>
                <w:i w:val="0"/>
                <w:sz w:val="19"/>
              </w:rPr>
              <w:t>Internal Auditor</w:t>
            </w:r>
          </w:p>
        </w:tc>
        <w:tc>
          <w:tcPr>
            <w:tcW w:type="dxa" w:w="4873"/>
          </w:tcPr>
          <w:p>
            <w:pPr>
              <w:spacing w:after="40"/>
            </w:pPr>
            <w:r>
              <w:rPr>
                <w:b w:val="0"/>
                <w:i w:val="0"/>
                <w:sz w:val="19"/>
              </w:rPr>
              <w:t>Presents audit results and the status of corrective actions.</w:t>
            </w:r>
          </w:p>
        </w:tc>
      </w:tr>
    </w:tbl>
    <w:p/>
    <w:p>
      <w:pPr>
        <w:pStyle w:val="Heading1"/>
      </w:pPr>
      <w:r>
        <w:t>4. Procedure</w:t>
      </w:r>
    </w:p>
    <w:p>
      <w:r>
        <w:rPr>
          <w:b w:val="0"/>
          <w:i w:val="0"/>
        </w:rPr>
        <w:t xml:space="preserve">4.1 </w:t>
      </w:r>
      <w:r>
        <w:rPr>
          <w:b/>
        </w:rPr>
        <w:t>Frequency.</w:t>
      </w:r>
      <w:r>
        <w:rPr>
          <w:b w:val="0"/>
          <w:i w:val="0"/>
        </w:rPr>
        <w:t xml:space="preserve"> The Chief Executive Officer holds a full management review at least once every twelve months. A second review each year is recommended. An additional review is held within thirty days of a major incident, a significant change in scope or organisation, or a major nonconformity from an external audit.</w:t>
      </w:r>
    </w:p>
    <w:p>
      <w:r>
        <w:rPr>
          <w:b w:val="0"/>
          <w:i w:val="0"/>
        </w:rPr>
        <w:t xml:space="preserve">4.2 </w:t>
      </w:r>
      <w:r>
        <w:rPr>
          <w:b/>
        </w:rPr>
        <w:t>Attendance.</w:t>
      </w:r>
      <w:r>
        <w:rPr>
          <w:b w:val="0"/>
          <w:i w:val="0"/>
        </w:rPr>
        <w:t xml:space="preserve"> The review is valid when the Chief Executive Officer or a deputy named in writing, the Information Security Manager, the Privacy Officer and at least half of the heads of function attend. The secretary records attendance and apologies on GOV-TPL-03.</w:t>
      </w:r>
    </w:p>
    <w:p>
      <w:r>
        <w:rPr>
          <w:b w:val="0"/>
          <w:i w:val="0"/>
        </w:rPr>
        <w:t xml:space="preserve">4.3 </w:t>
      </w:r>
      <w:r>
        <w:rPr>
          <w:b/>
        </w:rPr>
        <w:t>Preparation.</w:t>
      </w:r>
      <w:r>
        <w:rPr>
          <w:b w:val="0"/>
          <w:i w:val="0"/>
        </w:rPr>
        <w:t xml:space="preserve"> Ten working days before the review, the Information Security Manager circulates an input pack with one section per mandatory input in 4.4, each with the data, its source register and a proposed decision where one is needed. Presenters confirm their sections five working days before the review.</w:t>
      </w:r>
    </w:p>
    <w:p>
      <w:r>
        <w:rPr>
          <w:b w:val="0"/>
          <w:i w:val="0"/>
        </w:rPr>
        <w:t xml:space="preserve">4.4 </w:t>
      </w:r>
      <w:r>
        <w:rPr>
          <w:b/>
        </w:rPr>
        <w:t>Mandatory inputs.</w:t>
      </w:r>
      <w:r>
        <w:rPr>
          <w:b w:val="0"/>
          <w:i w:val="0"/>
        </w:rPr>
        <w:t xml:space="preserve"> The agenda follows this order and no input may be skipped. Where there is nothing to report, the minutes say so.</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Input</w:t>
            </w:r>
          </w:p>
        </w:tc>
        <w:tc>
          <w:tcPr>
            <w:tcW w:type="dxa" w:w="4873"/>
            <w:shd w:val="clear" w:color="auto" w:fill="EEF3F8"/>
          </w:tcPr>
          <w:p>
            <w:pPr>
              <w:spacing w:after="40"/>
            </w:pPr>
            <w:r>
              <w:rPr>
                <w:b/>
                <w:i w:val="0"/>
                <w:sz w:val="19"/>
              </w:rPr>
              <w:t>Source</w:t>
            </w:r>
          </w:p>
        </w:tc>
      </w:tr>
      <w:tr>
        <w:tc>
          <w:tcPr>
            <w:tcW w:type="dxa" w:w="4873"/>
          </w:tcPr>
          <w:p>
            <w:pPr>
              <w:spacing w:after="40"/>
            </w:pPr>
            <w:r>
              <w:rPr>
                <w:b w:val="0"/>
                <w:i w:val="0"/>
                <w:sz w:val="19"/>
              </w:rPr>
              <w:t>Status of actions from previous reviews</w:t>
            </w:r>
          </w:p>
        </w:tc>
        <w:tc>
          <w:tcPr>
            <w:tcW w:type="dxa" w:w="4873"/>
          </w:tcPr>
          <w:p>
            <w:pPr>
              <w:spacing w:after="40"/>
            </w:pPr>
            <w:r>
              <w:rPr>
                <w:b w:val="0"/>
                <w:i w:val="0"/>
                <w:sz w:val="19"/>
              </w:rPr>
              <w:t>GOV-REG-22</w:t>
            </w:r>
          </w:p>
        </w:tc>
      </w:tr>
      <w:tr>
        <w:tc>
          <w:tcPr>
            <w:tcW w:type="dxa" w:w="4873"/>
          </w:tcPr>
          <w:p>
            <w:pPr>
              <w:spacing w:after="40"/>
            </w:pPr>
            <w:r>
              <w:rPr>
                <w:b w:val="0"/>
                <w:i w:val="0"/>
                <w:sz w:val="19"/>
              </w:rPr>
              <w:t>Changes in external and internal issues and in interested parties' needs</w:t>
            </w:r>
          </w:p>
        </w:tc>
        <w:tc>
          <w:tcPr>
            <w:tcW w:type="dxa" w:w="4873"/>
          </w:tcPr>
          <w:p>
            <w:pPr>
              <w:spacing w:after="40"/>
            </w:pPr>
            <w:r>
              <w:rPr>
                <w:b w:val="0"/>
                <w:i w:val="0"/>
                <w:sz w:val="19"/>
              </w:rPr>
              <w:t>ISMS-PRO-01, ISMS-REG-03</w:t>
            </w:r>
          </w:p>
        </w:tc>
      </w:tr>
      <w:tr>
        <w:tc>
          <w:tcPr>
            <w:tcW w:type="dxa" w:w="4873"/>
          </w:tcPr>
          <w:p>
            <w:pPr>
              <w:spacing w:after="40"/>
            </w:pPr>
            <w:r>
              <w:rPr>
                <w:b w:val="0"/>
                <w:i w:val="0"/>
                <w:sz w:val="19"/>
              </w:rPr>
              <w:t>Nonconformities and corrective actions, with trends</w:t>
            </w:r>
          </w:p>
        </w:tc>
        <w:tc>
          <w:tcPr>
            <w:tcW w:type="dxa" w:w="4873"/>
          </w:tcPr>
          <w:p>
            <w:pPr>
              <w:spacing w:after="40"/>
            </w:pPr>
            <w:r>
              <w:rPr>
                <w:b w:val="0"/>
                <w:i w:val="0"/>
                <w:sz w:val="19"/>
              </w:rPr>
              <w:t>GOV-REG-03, GOV-PRO-04</w:t>
            </w:r>
          </w:p>
        </w:tc>
      </w:tr>
      <w:tr>
        <w:tc>
          <w:tcPr>
            <w:tcW w:type="dxa" w:w="4873"/>
          </w:tcPr>
          <w:p>
            <w:pPr>
              <w:spacing w:after="40"/>
            </w:pPr>
            <w:r>
              <w:rPr>
                <w:b w:val="0"/>
                <w:i w:val="0"/>
                <w:sz w:val="19"/>
              </w:rPr>
              <w:t>Monitoring and measurement results</w:t>
            </w:r>
          </w:p>
        </w:tc>
        <w:tc>
          <w:tcPr>
            <w:tcW w:type="dxa" w:w="4873"/>
          </w:tcPr>
          <w:p>
            <w:pPr>
              <w:spacing w:after="40"/>
            </w:pPr>
            <w:r>
              <w:rPr>
                <w:b w:val="0"/>
                <w:i w:val="0"/>
                <w:sz w:val="19"/>
              </w:rPr>
              <w:t>ISMS-PRO-04, GOV-REG-21</w:t>
            </w:r>
          </w:p>
        </w:tc>
      </w:tr>
      <w:tr>
        <w:tc>
          <w:tcPr>
            <w:tcW w:type="dxa" w:w="4873"/>
          </w:tcPr>
          <w:p>
            <w:pPr>
              <w:spacing w:after="40"/>
            </w:pPr>
            <w:r>
              <w:rPr>
                <w:b w:val="0"/>
                <w:i w:val="0"/>
                <w:sz w:val="19"/>
              </w:rPr>
              <w:t>Internal and external audit results</w:t>
            </w:r>
          </w:p>
        </w:tc>
        <w:tc>
          <w:tcPr>
            <w:tcW w:type="dxa" w:w="4873"/>
          </w:tcPr>
          <w:p>
            <w:pPr>
              <w:spacing w:after="40"/>
            </w:pPr>
            <w:r>
              <w:rPr>
                <w:b w:val="0"/>
                <w:i w:val="0"/>
                <w:sz w:val="19"/>
              </w:rPr>
              <w:t>GOV-REG-02, GOV-TPL-01</w:t>
            </w:r>
          </w:p>
        </w:tc>
      </w:tr>
      <w:tr>
        <w:tc>
          <w:tcPr>
            <w:tcW w:type="dxa" w:w="4873"/>
          </w:tcPr>
          <w:p>
            <w:pPr>
              <w:spacing w:after="40"/>
            </w:pPr>
            <w:r>
              <w:rPr>
                <w:b w:val="0"/>
                <w:i w:val="0"/>
                <w:sz w:val="19"/>
              </w:rPr>
              <w:t>Fulfilment of information security and privacy objectives</w:t>
            </w:r>
          </w:p>
        </w:tc>
        <w:tc>
          <w:tcPr>
            <w:tcW w:type="dxa" w:w="4873"/>
          </w:tcPr>
          <w:p>
            <w:pPr>
              <w:spacing w:after="40"/>
            </w:pPr>
            <w:r>
              <w:rPr>
                <w:b w:val="0"/>
                <w:i w:val="0"/>
                <w:sz w:val="19"/>
              </w:rPr>
              <w:t>GOV-REG-21, ISMS-PLN-01</w:t>
            </w:r>
          </w:p>
        </w:tc>
      </w:tr>
      <w:tr>
        <w:tc>
          <w:tcPr>
            <w:tcW w:type="dxa" w:w="4873"/>
          </w:tcPr>
          <w:p>
            <w:pPr>
              <w:spacing w:after="40"/>
            </w:pPr>
            <w:r>
              <w:rPr>
                <w:b w:val="0"/>
                <w:i w:val="0"/>
                <w:sz w:val="19"/>
              </w:rPr>
              <w:t>Feedback from interested parties, including complaints and customer questionnaires</w:t>
            </w:r>
          </w:p>
        </w:tc>
        <w:tc>
          <w:tcPr>
            <w:tcW w:type="dxa" w:w="4873"/>
          </w:tcPr>
          <w:p>
            <w:pPr>
              <w:spacing w:after="40"/>
            </w:pPr>
            <w:r>
              <w:rPr>
                <w:b w:val="0"/>
                <w:i w:val="0"/>
                <w:sz w:val="19"/>
              </w:rPr>
              <w:t>ISMS-REG-03, GOV-REG-04</w:t>
            </w:r>
          </w:p>
        </w:tc>
      </w:tr>
      <w:tr>
        <w:tc>
          <w:tcPr>
            <w:tcW w:type="dxa" w:w="4873"/>
          </w:tcPr>
          <w:p>
            <w:pPr>
              <w:spacing w:after="40"/>
            </w:pPr>
            <w:r>
              <w:rPr>
                <w:b w:val="0"/>
                <w:i w:val="0"/>
                <w:sz w:val="19"/>
              </w:rPr>
              <w:t>Results of risk assessment and status of the risk treatment plan</w:t>
            </w:r>
          </w:p>
        </w:tc>
        <w:tc>
          <w:tcPr>
            <w:tcW w:type="dxa" w:w="4873"/>
          </w:tcPr>
          <w:p>
            <w:pPr>
              <w:spacing w:after="40"/>
            </w:pPr>
            <w:r>
              <w:rPr>
                <w:b w:val="0"/>
                <w:i w:val="0"/>
                <w:sz w:val="19"/>
              </w:rPr>
              <w:t>GOV-REG-05, GOV-REG-06</w:t>
            </w:r>
          </w:p>
        </w:tc>
      </w:tr>
      <w:tr>
        <w:tc>
          <w:tcPr>
            <w:tcW w:type="dxa" w:w="4873"/>
          </w:tcPr>
          <w:p>
            <w:pPr>
              <w:spacing w:after="40"/>
            </w:pPr>
            <w:r>
              <w:rPr>
                <w:b w:val="0"/>
                <w:i w:val="0"/>
                <w:sz w:val="19"/>
              </w:rPr>
              <w:t>Incidents and personal data breaches, including lessons</w:t>
            </w:r>
          </w:p>
        </w:tc>
        <w:tc>
          <w:tcPr>
            <w:tcW w:type="dxa" w:w="4873"/>
          </w:tcPr>
          <w:p>
            <w:pPr>
              <w:spacing w:after="40"/>
            </w:pPr>
            <w:r>
              <w:rPr>
                <w:b w:val="0"/>
                <w:i w:val="0"/>
                <w:sz w:val="19"/>
              </w:rPr>
              <w:t>GOV-REG-08, PIMS-REG-03</w:t>
            </w:r>
          </w:p>
        </w:tc>
      </w:tr>
      <w:tr>
        <w:tc>
          <w:tcPr>
            <w:tcW w:type="dxa" w:w="4873"/>
          </w:tcPr>
          <w:p>
            <w:pPr>
              <w:spacing w:after="40"/>
            </w:pPr>
            <w:r>
              <w:rPr>
                <w:b w:val="0"/>
                <w:i w:val="0"/>
                <w:sz w:val="19"/>
              </w:rPr>
              <w:t>Supplier performance and assurance</w:t>
            </w:r>
          </w:p>
        </w:tc>
        <w:tc>
          <w:tcPr>
            <w:tcW w:type="dxa" w:w="4873"/>
          </w:tcPr>
          <w:p>
            <w:pPr>
              <w:spacing w:after="40"/>
            </w:pPr>
            <w:r>
              <w:rPr>
                <w:b w:val="0"/>
                <w:i w:val="0"/>
                <w:sz w:val="19"/>
              </w:rPr>
              <w:t>GOV-REG-07</w:t>
            </w:r>
          </w:p>
        </w:tc>
      </w:tr>
      <w:tr>
        <w:tc>
          <w:tcPr>
            <w:tcW w:type="dxa" w:w="4873"/>
          </w:tcPr>
          <w:p>
            <w:pPr>
              <w:spacing w:after="40"/>
            </w:pPr>
            <w:r>
              <w:rPr>
                <w:b w:val="0"/>
                <w:i w:val="0"/>
                <w:sz w:val="19"/>
              </w:rPr>
              <w:t>Compliance with legal, regulatory and contractual obligations</w:t>
            </w:r>
          </w:p>
        </w:tc>
        <w:tc>
          <w:tcPr>
            <w:tcW w:type="dxa" w:w="4873"/>
          </w:tcPr>
          <w:p>
            <w:pPr>
              <w:spacing w:after="40"/>
            </w:pPr>
            <w:r>
              <w:rPr>
                <w:b w:val="0"/>
                <w:i w:val="0"/>
                <w:sz w:val="19"/>
              </w:rPr>
              <w:t>GOV-REG-04</w:t>
            </w:r>
          </w:p>
        </w:tc>
      </w:tr>
      <w:tr>
        <w:tc>
          <w:tcPr>
            <w:tcW w:type="dxa" w:w="4873"/>
          </w:tcPr>
          <w:p>
            <w:pPr>
              <w:spacing w:after="40"/>
            </w:pPr>
            <w:r>
              <w:rPr>
                <w:b w:val="0"/>
                <w:i w:val="0"/>
                <w:sz w:val="19"/>
              </w:rPr>
              <w:t>Opportunities for continual improvement</w:t>
            </w:r>
          </w:p>
        </w:tc>
        <w:tc>
          <w:tcPr>
            <w:tcW w:type="dxa" w:w="4873"/>
          </w:tcPr>
          <w:p>
            <w:pPr>
              <w:spacing w:after="40"/>
            </w:pPr>
            <w:r>
              <w:rPr>
                <w:b w:val="0"/>
                <w:i w:val="0"/>
                <w:sz w:val="19"/>
              </w:rPr>
              <w:t>All presenters</w:t>
            </w:r>
          </w:p>
        </w:tc>
      </w:tr>
    </w:tbl>
    <w:p/>
    <w:p>
      <w:r>
        <w:rPr>
          <w:b w:val="0"/>
          <w:i w:val="0"/>
        </w:rPr>
        <w:t xml:space="preserve">4.5 </w:t>
      </w:r>
      <w:r>
        <w:rPr>
          <w:b/>
        </w:rPr>
        <w:t>Conduct.</w:t>
      </w:r>
      <w:r>
        <w:rPr>
          <w:b w:val="0"/>
          <w:i w:val="0"/>
        </w:rPr>
        <w:t xml:space="preserve"> For each input the presenter gives a summary, the chair states a decision (accept, act, or investigate), and the secretary records any action with an owner and a due date. The chair confirms or revises the risk appetite, the scope and the objectives for the next period.</w:t>
      </w:r>
    </w:p>
    <w:p>
      <w:r>
        <w:rPr>
          <w:b w:val="0"/>
          <w:i w:val="0"/>
        </w:rPr>
        <w:t xml:space="preserve">4.6 </w:t>
      </w:r>
      <w:r>
        <w:rPr>
          <w:b/>
        </w:rPr>
        <w:t>Mandatory outputs.</w:t>
      </w:r>
      <w:r>
        <w:rPr>
          <w:b w:val="0"/>
          <w:i w:val="0"/>
        </w:rPr>
        <w:t xml:space="preserve"> Before closing, the chair records decisions on: opportunities for continual improvement; changes needed to the management system, its policies, scope or objectives; and the resources needed, including budget, people and external support. A decision to provide no additional resource is recorded as a decision, with the reason.</w:t>
      </w:r>
    </w:p>
    <w:p>
      <w:r>
        <w:rPr>
          <w:b w:val="0"/>
          <w:i w:val="0"/>
        </w:rPr>
        <w:t xml:space="preserve">4.7 </w:t>
      </w:r>
      <w:r>
        <w:rPr>
          <w:b/>
        </w:rPr>
        <w:t>Minutes.</w:t>
      </w:r>
      <w:r>
        <w:rPr>
          <w:b w:val="0"/>
          <w:i w:val="0"/>
        </w:rPr>
        <w:t xml:space="preserve"> The secretary issues the minutes on GOV-TPL-03 within five working days. The chair approves them within a further five working days. Approved minutes are stored in the approved document location and listed in GOV-REG-01.</w:t>
      </w:r>
    </w:p>
    <w:p>
      <w:r>
        <w:rPr>
          <w:b w:val="0"/>
          <w:i w:val="0"/>
        </w:rPr>
        <w:t xml:space="preserve">4.8 </w:t>
      </w:r>
      <w:r>
        <w:rPr>
          <w:b/>
        </w:rPr>
        <w:t>Action tracking.</w:t>
      </w:r>
      <w:r>
        <w:rPr>
          <w:b w:val="0"/>
          <w:i w:val="0"/>
        </w:rPr>
        <w:t xml:space="preserve"> The secretary enters every action in GOV-REG-22 within two working days of the review, with owner, due date and the input it arose from. Owners report progress monthly. An action overdue by more than thirty days is escalated to the chair. An action is marked Completed only when evidence of completion is referenced in the tracker.</w:t>
      </w:r>
    </w:p>
    <w:p>
      <w:r>
        <w:rPr>
          <w:b w:val="0"/>
          <w:i w:val="0"/>
        </w:rPr>
        <w:t xml:space="preserve">4.9 </w:t>
      </w:r>
      <w:r>
        <w:rPr>
          <w:b/>
        </w:rPr>
        <w:t>Communication.</w:t>
      </w:r>
      <w:r>
        <w:rPr>
          <w:b w:val="0"/>
          <w:i w:val="0"/>
        </w:rPr>
        <w:t xml:space="preserve"> The Information Security Manager communicates relevant decisions to staff and, where appropriate, to customers and suppliers through ISMS-PLN-02 within ten working days.</w:t>
      </w:r>
    </w:p>
    <w:p>
      <w:pPr>
        <w:pStyle w:val="Heading1"/>
      </w:pPr>
      <w:r>
        <w:t>5. Records and evidence</w:t>
      </w:r>
    </w:p>
    <w:p>
      <w:pPr>
        <w:pStyle w:val="ListBullet"/>
      </w:pPr>
      <w:r>
        <w:rPr>
          <w:b w:val="0"/>
          <w:i w:val="0"/>
        </w:rPr>
        <w:t>GOV-TPL-03 Management review minutes, approved by the chair, for every review.</w:t>
      </w:r>
    </w:p>
    <w:p>
      <w:pPr>
        <w:pStyle w:val="ListBullet"/>
      </w:pPr>
      <w:r>
        <w:rPr>
          <w:b w:val="0"/>
          <w:i w:val="0"/>
        </w:rPr>
        <w:t>The input pack and the data it drew on.</w:t>
      </w:r>
    </w:p>
    <w:p>
      <w:pPr>
        <w:pStyle w:val="ListBullet"/>
      </w:pPr>
      <w:r>
        <w:rPr>
          <w:b w:val="0"/>
          <w:i w:val="0"/>
        </w:rPr>
        <w:t>GOV-REG-22 Management review action tracker, showing every action from raising to completion with evidence.</w:t>
      </w:r>
    </w:p>
    <w:p>
      <w:pPr>
        <w:pStyle w:val="ListBullet"/>
      </w:pPr>
      <w:r>
        <w:rPr>
          <w:b w:val="0"/>
          <w:i w:val="0"/>
        </w:rPr>
        <w:t>Attendance records.</w:t>
      </w:r>
    </w:p>
    <w:p>
      <w:pPr>
        <w:pStyle w:val="Heading1"/>
      </w:pPr>
      <w:r>
        <w:t>6. Exceptions</w:t>
      </w:r>
    </w:p>
    <w:p>
      <w:r>
        <w:rPr>
          <w:b w:val="0"/>
          <w:i w:val="0"/>
        </w:rPr>
        <w:t>The twelve-month interval may be extended by no more than one month on the written decision of the Chief Executive Officer, recorded in GOV-REG-22 with the reason. No mandatory input may be omitted.</w:t>
      </w:r>
    </w:p>
    <w:p>
      <w:pPr>
        <w:pStyle w:val="Heading1"/>
      </w:pPr>
      <w:r>
        <w:t>7. Review and maintenance</w:t>
      </w:r>
    </w:p>
    <w:p>
      <w:r>
        <w:rPr>
          <w:b w:val="0"/>
          <w:i w:val="0"/>
        </w:rPr>
        <w:t>The Information Security Manager reviews this procedure annually and after any external audit finding about management review. Changes follow GOV-PRO-01.</w:t>
      </w:r>
    </w:p>
    <w:p>
      <w:pPr>
        <w:pStyle w:val="Heading1"/>
      </w:pPr>
      <w:r>
        <w:t>8. Related documents</w:t>
      </w:r>
    </w:p>
    <w:p>
      <w:pPr>
        <w:pStyle w:val="ListBullet"/>
      </w:pPr>
      <w:r>
        <w:rPr>
          <w:b w:val="0"/>
          <w:i w:val="0"/>
        </w:rPr>
        <w:t>GOV-TPL-03 Management review minutes template</w:t>
      </w:r>
    </w:p>
    <w:p>
      <w:pPr>
        <w:pStyle w:val="ListBullet"/>
      </w:pPr>
      <w:r>
        <w:rPr>
          <w:b w:val="0"/>
          <w:i w:val="0"/>
        </w:rPr>
        <w:t>GOV-REG-22 Management review action tracker</w:t>
      </w:r>
    </w:p>
    <w:p>
      <w:pPr>
        <w:pStyle w:val="ListBullet"/>
      </w:pPr>
      <w:r>
        <w:rPr>
          <w:b w:val="0"/>
          <w:i w:val="0"/>
        </w:rPr>
        <w:t>GOV-POL-01 Information security and privacy governance framework</w:t>
      </w:r>
    </w:p>
    <w:p>
      <w:pPr>
        <w:pStyle w:val="ListBullet"/>
      </w:pPr>
      <w:r>
        <w:rPr>
          <w:b w:val="0"/>
          <w:i w:val="0"/>
        </w:rPr>
        <w:t>GOV-PRO-02 Internal audit procedure</w:t>
      </w:r>
    </w:p>
    <w:p>
      <w:pPr>
        <w:pStyle w:val="ListBullet"/>
      </w:pPr>
      <w:r>
        <w:rPr>
          <w:b w:val="0"/>
          <w:i w:val="0"/>
        </w:rPr>
        <w:t>GOV-PRO-04 Nonconformity and corrective action procedure</w:t>
      </w:r>
    </w:p>
    <w:p>
      <w:pPr>
        <w:pStyle w:val="ListBullet"/>
      </w:pPr>
      <w:r>
        <w:rPr>
          <w:b w:val="0"/>
          <w:i w:val="0"/>
        </w:rPr>
        <w:t>GOV-PRO-05 Risk assessment and treatment methodology</w:t>
      </w:r>
    </w:p>
    <w:p>
      <w:pPr>
        <w:pStyle w:val="ListBullet"/>
      </w:pPr>
      <w:r>
        <w:rPr>
          <w:b w:val="0"/>
          <w:i w:val="0"/>
        </w:rPr>
        <w:t>GOV-REG-21 Security objectives and measures tracker</w:t>
      </w:r>
    </w:p>
    <w:p>
      <w:pPr>
        <w:pStyle w:val="ListBullet"/>
      </w:pPr>
      <w:r>
        <w:rPr>
          <w:b w:val="0"/>
          <w:i w:val="0"/>
        </w:rPr>
        <w:t>ISMS-PRO-04 Monitoring, measurement, analysis and evaluation procedure</w:t>
      </w:r>
    </w:p>
    <w:p>
      <w:pPr>
        <w:pStyle w:val="ListBullet"/>
      </w:pPr>
      <w:r>
        <w:rPr>
          <w:b w:val="0"/>
          <w:i w:val="0"/>
        </w:rPr>
        <w:t>ISMS-PLN-02 Communication plan</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GOV-PRO-03  |  Management review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