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GOV-PRO-27</w:t>
      </w:r>
    </w:p>
    <w:p>
      <w:r>
        <w:rPr>
          <w:b/>
          <w:color w:val="0B2D4D"/>
          <w:sz w:val="44"/>
        </w:rPr>
        <w:t>Threat Intelligence and Vulnerability Disclosure Handling Procedure</w:t>
      </w:r>
    </w:p>
    <w:p>
      <w:r>
        <w:rPr>
          <w:i/>
          <w:color w:val="526478"/>
        </w:rPr>
        <w:t>How threat and vulnerability information is collected, triaged, turned into action and shared, and how vulnerability reports from outside the organisation are received, acknowledged, validated, fixed and credited under a safe harbour.</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GOV-PRO-27</w:t>
            </w:r>
          </w:p>
        </w:tc>
      </w:tr>
      <w:tr>
        <w:tc>
          <w:tcPr>
            <w:tcW w:type="dxa" w:w="2551"/>
            <w:shd w:val="clear" w:color="auto" w:fill="EEF3F8"/>
          </w:tcPr>
          <w:p>
            <w:pPr>
              <w:spacing w:after="40"/>
            </w:pPr>
            <w:r>
              <w:rPr>
                <w:b/>
                <w:sz w:val="19"/>
              </w:rPr>
              <w:t>Title</w:t>
            </w:r>
          </w:p>
        </w:tc>
        <w:tc>
          <w:tcPr>
            <w:tcW w:type="dxa" w:w="6803"/>
          </w:tcPr>
          <w:p>
            <w:pPr>
              <w:spacing w:after="40"/>
            </w:pPr>
            <w:r>
              <w:rPr>
                <w:sz w:val="19"/>
              </w:rPr>
              <w:t>Threat Intelligence and Vulnerability Disclosure Handling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5.7; SOC 2 CC7.1; SOC 2 CC2.3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keeps [Organisation] informed about the threats and vulnerabilities that matter to it, turns that information into action within defined times, and gives outside researchers a safe and predictable way to report a vulnerability in [Organisation]'s systems.</w:t>
      </w:r>
    </w:p>
    <w:p>
      <w:pPr>
        <w:pStyle w:val="Heading1"/>
      </w:pPr>
      <w:r>
        <w:t>2. Scope</w:t>
      </w:r>
    </w:p>
    <w:p>
      <w:r>
        <w:rPr>
          <w:b w:val="0"/>
          <w:i w:val="0"/>
        </w:rPr>
        <w:t>It applies to threat and vulnerability information from any source about the technologies, suppliers and sector in which [Organisation] operates, and to reports about [Organisation]'s own systems, products and services received from customers, researchers, suppliers, authorities or the public.</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both processes, maintains the sources, triages intelligence and external reports, issues bulletins.</w:t>
            </w:r>
          </w:p>
        </w:tc>
      </w:tr>
      <w:tr>
        <w:tc>
          <w:tcPr>
            <w:tcW w:type="dxa" w:w="4873"/>
          </w:tcPr>
          <w:p>
            <w:pPr>
              <w:spacing w:after="40"/>
            </w:pPr>
            <w:r>
              <w:rPr>
                <w:b w:val="0"/>
                <w:i w:val="0"/>
                <w:sz w:val="19"/>
              </w:rPr>
              <w:t>Security analyst</w:t>
            </w:r>
          </w:p>
        </w:tc>
        <w:tc>
          <w:tcPr>
            <w:tcW w:type="dxa" w:w="4873"/>
          </w:tcPr>
          <w:p>
            <w:pPr>
              <w:spacing w:after="40"/>
            </w:pPr>
            <w:r>
              <w:rPr>
                <w:b w:val="0"/>
                <w:i w:val="0"/>
                <w:sz w:val="19"/>
              </w:rPr>
              <w:t>Monitors the sources, performs first triage, keeps the reporter informed.</w:t>
            </w:r>
          </w:p>
        </w:tc>
      </w:tr>
      <w:tr>
        <w:tc>
          <w:tcPr>
            <w:tcW w:type="dxa" w:w="4873"/>
          </w:tcPr>
          <w:p>
            <w:pPr>
              <w:spacing w:after="40"/>
            </w:pPr>
            <w:r>
              <w:rPr>
                <w:b w:val="0"/>
                <w:i w:val="0"/>
                <w:sz w:val="19"/>
              </w:rPr>
              <w:t>System Owner</w:t>
            </w:r>
          </w:p>
        </w:tc>
        <w:tc>
          <w:tcPr>
            <w:tcW w:type="dxa" w:w="4873"/>
          </w:tcPr>
          <w:p>
            <w:pPr>
              <w:spacing w:after="40"/>
            </w:pPr>
            <w:r>
              <w:rPr>
                <w:b w:val="0"/>
                <w:i w:val="0"/>
                <w:sz w:val="19"/>
              </w:rPr>
              <w:t>Confirms relevance to their system and remediates under GOV-PRO-11.</w:t>
            </w:r>
          </w:p>
        </w:tc>
      </w:tr>
      <w:tr>
        <w:tc>
          <w:tcPr>
            <w:tcW w:type="dxa" w:w="4873"/>
          </w:tcPr>
          <w:p>
            <w:pPr>
              <w:spacing w:after="40"/>
            </w:pPr>
            <w:r>
              <w:rPr>
                <w:b w:val="0"/>
                <w:i w:val="0"/>
                <w:sz w:val="19"/>
              </w:rPr>
              <w:t>Head of Engineering</w:t>
            </w:r>
          </w:p>
        </w:tc>
        <w:tc>
          <w:tcPr>
            <w:tcW w:type="dxa" w:w="4873"/>
          </w:tcPr>
          <w:p>
            <w:pPr>
              <w:spacing w:after="40"/>
            </w:pPr>
            <w:r>
              <w:rPr>
                <w:b w:val="0"/>
                <w:i w:val="0"/>
                <w:sz w:val="19"/>
              </w:rPr>
              <w:t>Receives the monthly summary and allocates remediation effort.</w:t>
            </w:r>
          </w:p>
        </w:tc>
      </w:tr>
      <w:tr>
        <w:tc>
          <w:tcPr>
            <w:tcW w:type="dxa" w:w="4873"/>
          </w:tcPr>
          <w:p>
            <w:pPr>
              <w:spacing w:after="40"/>
            </w:pPr>
            <w:r>
              <w:rPr>
                <w:b w:val="0"/>
                <w:i w:val="0"/>
                <w:sz w:val="19"/>
              </w:rPr>
              <w:t>Communications lead and legal adviser</w:t>
            </w:r>
          </w:p>
        </w:tc>
        <w:tc>
          <w:tcPr>
            <w:tcW w:type="dxa" w:w="4873"/>
          </w:tcPr>
          <w:p>
            <w:pPr>
              <w:spacing w:after="40"/>
            </w:pPr>
            <w:r>
              <w:rPr>
                <w:b w:val="0"/>
                <w:i w:val="0"/>
                <w:sz w:val="19"/>
              </w:rPr>
              <w:t>Approve the published disclosure policy and any public statement or credit.</w:t>
            </w:r>
          </w:p>
        </w:tc>
      </w:tr>
    </w:tbl>
    <w:p/>
    <w:p>
      <w:pPr>
        <w:pStyle w:val="Heading1"/>
      </w:pPr>
      <w:r>
        <w:t>4. Procedure</w:t>
      </w:r>
    </w:p>
    <w:p>
      <w:r>
        <w:rPr>
          <w:b/>
        </w:rPr>
        <w:t>Threat intelligence</w:t>
      </w:r>
    </w:p>
    <w:p>
      <w:r>
        <w:rPr>
          <w:b w:val="0"/>
          <w:i w:val="0"/>
        </w:rPr>
        <w:t xml:space="preserve">4.1 </w:t>
      </w:r>
      <w:r>
        <w:rPr>
          <w:b/>
        </w:rPr>
        <w:t>Sources.</w:t>
      </w:r>
      <w:r>
        <w:rPr>
          <w:b w:val="0"/>
          <w:i w:val="0"/>
        </w:rPr>
        <w:t xml:space="preserve"> The Information Security Manager maintains a source list matched to the inventory in GOV-REG-24 and the suppliers in GOV-REG-07: vendor and provider security advisories for every product in use, the national computer emergency response team, a sector information sharing group where one exists, published vulnerability databases, reputable research publications, and [Organisation]'s own incident and monitoring data. The list is reviewed quarterly and when a product or supplier is added.</w:t>
      </w:r>
    </w:p>
    <w:p>
      <w:r>
        <w:rPr>
          <w:b w:val="0"/>
          <w:i w:val="0"/>
        </w:rPr>
        <w:t xml:space="preserve">4.2 </w:t>
      </w:r>
      <w:r>
        <w:rPr>
          <w:b/>
        </w:rPr>
        <w:t>Collection.</w:t>
      </w:r>
      <w:r>
        <w:rPr>
          <w:b w:val="0"/>
          <w:i w:val="0"/>
        </w:rPr>
        <w:t xml:space="preserve"> The analyst reviews the sources at least weekly, and advisories marked critical or actively exploited on the day they are published. Each item is recorded with source, date, affected technology and an initial relevance rating.</w:t>
      </w:r>
    </w:p>
    <w:p>
      <w:r>
        <w:rPr>
          <w:b w:val="0"/>
          <w:i w:val="0"/>
        </w:rPr>
        <w:t xml:space="preserve">4.3 </w:t>
      </w:r>
      <w:r>
        <w:rPr>
          <w:b/>
        </w:rPr>
        <w:t>Triage.</w:t>
      </w:r>
      <w:r>
        <w:rPr>
          <w:b w:val="0"/>
          <w:i w:val="0"/>
        </w:rPr>
        <w:t xml:space="preserve"> For each item the analyst answers four questions: do we run the affected technology or version; is it exposed to the internet or to untrusted users; does it hold Confidential or Restricted data; is exploitation reported. A relevant item becomes one or more of: a finding in GOV-REG-14 with its severity and deadline under GOV-PRO-11; a detection rule or search under GOV-PRO-14; an update to a risk in GOV-REG-05; a supplier query under GOV-PRO-06; an awareness message to staff under GOV-PRO-08. The decision and the action reference are recorded against the item.</w:t>
      </w:r>
    </w:p>
    <w:p>
      <w:r>
        <w:rPr>
          <w:b w:val="0"/>
          <w:i w:val="0"/>
        </w:rPr>
        <w:t xml:space="preserve">4.4 </w:t>
      </w:r>
      <w:r>
        <w:rPr>
          <w:b/>
        </w:rPr>
        <w:t>Dissemination.</w:t>
      </w:r>
      <w:r>
        <w:rPr>
          <w:b w:val="0"/>
          <w:i w:val="0"/>
        </w:rPr>
        <w:t xml:space="preserve"> Urgent items (critical and exploitable in [Organisation]'s environment) go to the Head of Engineering and the affected System Owners within 24 hours of receipt. A monthly summary of relevant threats, actions taken and open items goes to the Head of Engineering and the steering committee. Intelligence received under a sharing agreement is handled according to the sharing marking it carries and is not forwarded beyond the permitted audience.</w:t>
      </w:r>
    </w:p>
    <w:p>
      <w:r>
        <w:rPr>
          <w:b w:val="0"/>
          <w:i w:val="0"/>
        </w:rPr>
        <w:t xml:space="preserve">4.5 </w:t>
      </w:r>
      <w:r>
        <w:rPr>
          <w:b/>
        </w:rPr>
        <w:t>Outbound sharing.</w:t>
      </w:r>
      <w:r>
        <w:rPr>
          <w:b w:val="0"/>
          <w:i w:val="0"/>
        </w:rPr>
        <w:t xml:space="preserve"> The Information Security Manager may share indicators and lessons with the sector group or the national team after removing customer and personal data, and records what was shared and when.</w:t>
      </w:r>
    </w:p>
    <w:p>
      <w:r>
        <w:rPr>
          <w:b/>
        </w:rPr>
        <w:t>Vulnerability disclosure handling</w:t>
      </w:r>
    </w:p>
    <w:p>
      <w:r>
        <w:rPr>
          <w:b w:val="0"/>
          <w:i w:val="0"/>
        </w:rPr>
        <w:t xml:space="preserve">4.6 </w:t>
      </w:r>
      <w:r>
        <w:rPr>
          <w:b/>
        </w:rPr>
        <w:t>Published policy.</w:t>
      </w:r>
      <w:r>
        <w:rPr>
          <w:b w:val="0"/>
          <w:i w:val="0"/>
        </w:rPr>
        <w:t xml:space="preserve"> [Organisation] publishes a vulnerability disclosure policy stating: the systems in scope; how to report, through a monitored security contact and a machine-readable security contact file at the recognised location; what to include in a report; what the reporter can expect and when; the safe harbour statement in 4.7; and the testing that is out of bounds (denial of service, social engineering, physical intrusion, and access to other users' data beyond what proves the issue).</w:t>
      </w:r>
    </w:p>
    <w:p>
      <w:r>
        <w:rPr>
          <w:b w:val="0"/>
          <w:i w:val="0"/>
        </w:rPr>
        <w:t xml:space="preserve">4.7 </w:t>
      </w:r>
      <w:r>
        <w:rPr>
          <w:b/>
        </w:rPr>
        <w:t>Safe harbour.</w:t>
      </w:r>
      <w:r>
        <w:rPr>
          <w:b w:val="0"/>
          <w:i w:val="0"/>
        </w:rPr>
        <w:t xml:space="preserve"> The policy states, in plain words, that [Organisation] will not pursue legal action against, or report to authorities, a person who finds and reports a vulnerability in good faith, stays within the policy's scope and rules, avoids privacy violations and service disruption, does not exploit the issue beyond what is needed to demonstrate it, and allows [Organisation] a reasonable time to fix it before publishing. The legal adviser approves the wording.</w:t>
      </w:r>
    </w:p>
    <w:p>
      <w:r>
        <w:rPr>
          <w:b w:val="0"/>
          <w:i w:val="0"/>
        </w:rPr>
        <w:t xml:space="preserve">4.8 </w:t>
      </w:r>
      <w:r>
        <w:rPr>
          <w:b/>
        </w:rPr>
        <w:t>Receiving a report.</w:t>
      </w:r>
      <w:r>
        <w:rPr>
          <w:b w:val="0"/>
          <w:i w:val="0"/>
        </w:rPr>
        <w:t xml:space="preserve"> The analyst acknowledges every report within three working days, records it in GOV-REG-14 with the source External report and the reporter's reference, and retains all correspondence. A report containing personal data or credentials is handled as Restricted.</w:t>
      </w:r>
    </w:p>
    <w:p>
      <w:r>
        <w:rPr>
          <w:b w:val="0"/>
          <w:i w:val="0"/>
        </w:rPr>
        <w:t xml:space="preserve">4.9 </w:t>
      </w:r>
      <w:r>
        <w:rPr>
          <w:b/>
        </w:rPr>
        <w:t>Validation.</w:t>
      </w:r>
      <w:r>
        <w:rPr>
          <w:b w:val="0"/>
          <w:i w:val="0"/>
        </w:rPr>
        <w:t xml:space="preserve"> Within ten working days the analyst reproduces or disproves the issue with the System Owner, assigns severity under GOV-PRO-11 and tells the reporter the outcome. A report revealing an existing compromise becomes an incident under GOV-PRO-07 at once.</w:t>
      </w:r>
    </w:p>
    <w:p>
      <w:r>
        <w:rPr>
          <w:b w:val="0"/>
          <w:i w:val="0"/>
        </w:rPr>
        <w:t xml:space="preserve">4.10 </w:t>
      </w:r>
      <w:r>
        <w:rPr>
          <w:b/>
        </w:rPr>
        <w:t>Remediation and updates.</w:t>
      </w:r>
      <w:r>
        <w:rPr>
          <w:b w:val="0"/>
          <w:i w:val="0"/>
        </w:rPr>
        <w:t xml:space="preserve"> The System Owner fixes the issue within the deadline for its severity. The analyst updates the reporter at least every 30 days until closure and confirms the fix to them. Reporters are offered public credit on request. A monetary reward is given only where a formal programme exists.</w:t>
      </w:r>
    </w:p>
    <w:p>
      <w:r>
        <w:rPr>
          <w:b w:val="0"/>
          <w:i w:val="0"/>
        </w:rPr>
        <w:t xml:space="preserve">4.11 </w:t>
      </w:r>
      <w:r>
        <w:rPr>
          <w:b/>
        </w:rPr>
        <w:t>Coordinated publication.</w:t>
      </w:r>
      <w:r>
        <w:rPr>
          <w:b w:val="0"/>
          <w:i w:val="0"/>
        </w:rPr>
        <w:t xml:space="preserve"> Where a vulnerability affects customers or other organisations, the Information Security Manager coordinates notification under contractual commitments and GOV-PRO-07, and agrees a publication date with the reporter, by default no later than 90 days after validation unless both parties agree otherwise.</w:t>
      </w:r>
    </w:p>
    <w:p>
      <w:r>
        <w:rPr>
          <w:b w:val="0"/>
          <w:i w:val="0"/>
        </w:rPr>
        <w:t xml:space="preserve">4.12 </w:t>
      </w:r>
      <w:r>
        <w:rPr>
          <w:b/>
        </w:rPr>
        <w:t>Measures.</w:t>
      </w:r>
      <w:r>
        <w:rPr>
          <w:b w:val="0"/>
          <w:i w:val="0"/>
        </w:rPr>
        <w:t xml:space="preserve"> Quarterly the Information Security Manager reports: reports received, time to acknowledge, time to validate, time to fix by severity, and intelligence items turned into actions, alongside the vulnerability metrics in GOV-PRO-11.</w:t>
      </w:r>
    </w:p>
    <w:p>
      <w:pPr>
        <w:pStyle w:val="Heading1"/>
      </w:pPr>
      <w:r>
        <w:t>5. Records and evidence</w:t>
      </w:r>
    </w:p>
    <w:p>
      <w:pPr>
        <w:pStyle w:val="ListBullet"/>
      </w:pPr>
      <w:r>
        <w:rPr>
          <w:b w:val="0"/>
          <w:i w:val="0"/>
        </w:rPr>
        <w:t>The source list and its quarterly review.</w:t>
      </w:r>
    </w:p>
    <w:p>
      <w:pPr>
        <w:pStyle w:val="ListBullet"/>
      </w:pPr>
      <w:r>
        <w:rPr>
          <w:b w:val="0"/>
          <w:i w:val="0"/>
        </w:rPr>
        <w:t>The intelligence log with triage decisions and action references.</w:t>
      </w:r>
    </w:p>
    <w:p>
      <w:pPr>
        <w:pStyle w:val="ListBullet"/>
      </w:pPr>
      <w:r>
        <w:rPr>
          <w:b w:val="0"/>
          <w:i w:val="0"/>
        </w:rPr>
        <w:t>Monthly threat summaries and urgent bulletins.</w:t>
      </w:r>
    </w:p>
    <w:p>
      <w:pPr>
        <w:pStyle w:val="ListBullet"/>
      </w:pPr>
      <w:r>
        <w:rPr>
          <w:b w:val="0"/>
          <w:i w:val="0"/>
        </w:rPr>
        <w:t>The published disclosure policy with legal approval and version history.</w:t>
      </w:r>
    </w:p>
    <w:p>
      <w:pPr>
        <w:pStyle w:val="ListBullet"/>
      </w:pPr>
      <w:r>
        <w:rPr>
          <w:b w:val="0"/>
          <w:i w:val="0"/>
        </w:rPr>
        <w:t>GOV-REG-14 entries for external reports and the correspondence archive.</w:t>
      </w:r>
    </w:p>
    <w:p>
      <w:pPr>
        <w:pStyle w:val="ListBullet"/>
      </w:pPr>
      <w:r>
        <w:rPr>
          <w:b w:val="0"/>
          <w:i w:val="0"/>
        </w:rPr>
        <w:t>Quarterly measures.</w:t>
      </w:r>
    </w:p>
    <w:p>
      <w:pPr>
        <w:pStyle w:val="Heading1"/>
      </w:pPr>
      <w:r>
        <w:t>6. Exceptions</w:t>
      </w:r>
    </w:p>
    <w:p>
      <w:r>
        <w:rPr>
          <w:b w:val="0"/>
          <w:i w:val="0"/>
        </w:rPr>
        <w:t>A report outside the published scope is still acknowledged and triaged; the safe harbour applies only within scope. No other exception applies.</w:t>
      </w:r>
    </w:p>
    <w:p>
      <w:pPr>
        <w:pStyle w:val="Heading1"/>
      </w:pPr>
      <w:r>
        <w:t>7. Review and maintenance</w:t>
      </w:r>
    </w:p>
    <w:p>
      <w:r>
        <w:rPr>
          <w:b w:val="0"/>
          <w:i w:val="0"/>
        </w:rPr>
        <w:t>The Information Security Manager reviews this procedure annually, after any report that was handled late or published before the fix, and when a law on coordinated disclosure or product security changes. Changes follow GOV-PRO-01.</w:t>
      </w:r>
    </w:p>
    <w:p>
      <w:pPr>
        <w:pStyle w:val="Heading1"/>
      </w:pPr>
      <w:r>
        <w:t>8. Related documents</w:t>
      </w:r>
    </w:p>
    <w:p>
      <w:pPr>
        <w:pStyle w:val="ListBullet"/>
      </w:pPr>
      <w:r>
        <w:rPr>
          <w:b w:val="0"/>
          <w:i w:val="0"/>
        </w:rPr>
        <w:t>GOV-PRO-11 Vulnerability and patch management procedure</w:t>
      </w:r>
    </w:p>
    <w:p>
      <w:pPr>
        <w:pStyle w:val="ListBullet"/>
      </w:pPr>
      <w:r>
        <w:rPr>
          <w:b w:val="0"/>
          <w:i w:val="0"/>
        </w:rPr>
        <w:t>GOV-REG-14 Vulnerability register</w:t>
      </w:r>
    </w:p>
    <w:p>
      <w:pPr>
        <w:pStyle w:val="ListBullet"/>
      </w:pPr>
      <w:r>
        <w:rPr>
          <w:b w:val="0"/>
          <w:i w:val="0"/>
        </w:rPr>
        <w:t>GOV-PRO-14 Logging, monitoring and alert handling procedure</w:t>
      </w:r>
    </w:p>
    <w:p>
      <w:pPr>
        <w:pStyle w:val="ListBullet"/>
      </w:pPr>
      <w:r>
        <w:rPr>
          <w:b w:val="0"/>
          <w:i w:val="0"/>
        </w:rPr>
        <w:t>GOV-REG-05 Information security risk register</w:t>
      </w:r>
    </w:p>
    <w:p>
      <w:pPr>
        <w:pStyle w:val="ListBullet"/>
      </w:pPr>
      <w:r>
        <w:rPr>
          <w:b w:val="0"/>
          <w:i w:val="0"/>
        </w:rPr>
        <w:t>GOV-PRO-06 Supplier and third party security procedure</w:t>
      </w:r>
    </w:p>
    <w:p>
      <w:pPr>
        <w:pStyle w:val="ListBullet"/>
      </w:pPr>
      <w:r>
        <w:rPr>
          <w:b w:val="0"/>
          <w:i w:val="0"/>
        </w:rPr>
        <w:t>GOV-REG-07 Supplier register</w:t>
      </w:r>
    </w:p>
    <w:p>
      <w:pPr>
        <w:pStyle w:val="ListBullet"/>
      </w:pPr>
      <w:r>
        <w:rPr>
          <w:b w:val="0"/>
          <w:i w:val="0"/>
        </w:rPr>
        <w:t>GOV-PRO-08 Security and privacy awareness and training procedure</w:t>
      </w:r>
    </w:p>
    <w:p>
      <w:pPr>
        <w:pStyle w:val="ListBullet"/>
      </w:pPr>
      <w:r>
        <w:rPr>
          <w:b w:val="0"/>
          <w:i w:val="0"/>
        </w:rPr>
        <w:t>GOV-PRO-07 Information security incident management procedure</w:t>
      </w:r>
    </w:p>
    <w:p>
      <w:pPr>
        <w:pStyle w:val="ListBullet"/>
      </w:pPr>
      <w:r>
        <w:rPr>
          <w:b w:val="0"/>
          <w:i w:val="0"/>
        </w:rPr>
        <w:t>GOV-REG-24 Software and hardware inventory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GOV-PRO-27  |  Threat Intelligence and Vulnerability Disclosure Handling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