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PB-01</w:t>
      </w:r>
    </w:p>
    <w:p>
      <w:r>
        <w:rPr>
          <w:b/>
          <w:color w:val="0B2D4D"/>
          <w:sz w:val="44"/>
        </w:rPr>
        <w:t>Playbook: start here, how to use this kit</w:t>
      </w:r>
    </w:p>
    <w:p>
      <w:r>
        <w:rPr>
          <w:i/>
          <w:color w:val="526478"/>
        </w:rPr>
        <w:t>What the kit is, who it is for, how to adopt it, and the rules that keep it safe to use. Read this before anything else.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PB-01</w:t>
            </w:r>
          </w:p>
        </w:tc>
      </w:tr>
      <w:tr>
        <w:tc>
          <w:tcPr>
            <w:tcW w:type="dxa" w:w="2551"/>
            <w:shd w:val="clear" w:color="auto" w:fill="EEF3F8"/>
          </w:tcPr>
          <w:p>
            <w:pPr>
              <w:spacing w:after="40"/>
            </w:pPr>
            <w:r>
              <w:rPr>
                <w:b/>
                <w:sz w:val="19"/>
              </w:rPr>
              <w:t>Title</w:t>
            </w:r>
          </w:p>
        </w:tc>
        <w:tc>
          <w:tcPr>
            <w:tcW w:type="dxa" w:w="6803"/>
          </w:tcPr>
          <w:p>
            <w:pPr>
              <w:spacing w:after="40"/>
            </w:pPr>
            <w:r>
              <w:rPr>
                <w:sz w:val="19"/>
              </w:rPr>
              <w:t>Playbook: start here, how to use this kit</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7.5; SOC 2 CC5.3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What this kit is</w:t>
      </w:r>
    </w:p>
    <w:p>
      <w:r>
        <w:rPr>
          <w:b w:val="0"/>
          <w:i w:val="0"/>
        </w:rPr>
        <w:t>This is a set of original templates and guidance for building and running an information security, privacy and AI governance programme. It holds policies, procedures, plans, forms, registers and playbooks, mapped to ISO/IEC 27001:2022, ISO/IEC 27701, SOC 2, GDPR and AI governance. The documents are written once and shared across the frameworks, so a single control set can serve several certifications and obligations at the same time.</w:t>
      </w:r>
    </w:p>
    <w:p>
      <w:pPr>
        <w:pStyle w:val="Heading1"/>
      </w:pPr>
      <w:r>
        <w:t>2. What this kit is not</w:t>
      </w:r>
    </w:p>
    <w:p>
      <w:r>
        <w:rPr>
          <w:b w:val="0"/>
          <w:i w:val="0"/>
        </w:rPr>
        <w:t>It is not a certification, an attestation or legal advice. Adopting these documents does not make an organisation compliant; following them and keeping the evidence does. It is not a copy of any standard: the kit cites clause, control, criterion and article numbers and leaves the authoritative text to the standard itself. Buy ISO/IEC 27001 and ISO/IEC 27701 from your national standards body, read the SOC 2 criteria from the AICPA, and read the GDPR text from the official source.</w:t>
      </w:r>
    </w:p>
    <w:p>
      <w:pPr>
        <w:pStyle w:val="Heading1"/>
      </w:pPr>
      <w:r>
        <w:t>3. Who it is for</w:t>
      </w:r>
    </w:p>
    <w:p>
      <w:r>
        <w:rPr>
          <w:b w:val="0"/>
          <w:i w:val="0"/>
        </w:rPr>
        <w:t>It is for the person who has been asked to stand up or tidy up a security or privacy programme in a small or growing organisation, and who wants a complete, consistent starting point rather than a folder of unrelated templates. You do not need to be a specialist. The playbooks assume you will learn as you go.</w:t>
      </w:r>
    </w:p>
    <w:p>
      <w:pPr>
        <w:pStyle w:val="Heading1"/>
      </w:pPr>
      <w:r>
        <w:t>4. How to adopt it</w:t>
      </w:r>
    </w:p>
    <w:p>
      <w:r>
        <w:rPr>
          <w:b w:val="0"/>
          <w:i w:val="0"/>
        </w:rPr>
        <w:t xml:space="preserve">4.1 </w:t>
      </w:r>
      <w:r>
        <w:rPr>
          <w:b/>
        </w:rPr>
        <w:t>Choose your path.</w:t>
      </w:r>
      <w:r>
        <w:rPr>
          <w:b w:val="0"/>
          <w:i w:val="0"/>
        </w:rPr>
        <w:t xml:space="preserve"> If you are heading for ISO/IEC 27001, start with PB-02. For SOC 2, start with PB-03. For GDPR, start with PB-04. To add privacy management to an existing information security management system, use PB-05. For United States health data, use PB-11. You can run more than one; PB-10 explains how the frameworks share one control set.</w:t>
      </w:r>
    </w:p>
    <w:p>
      <w:r>
        <w:rPr>
          <w:b w:val="0"/>
          <w:i w:val="0"/>
        </w:rPr>
        <w:t xml:space="preserve">4.2 </w:t>
      </w:r>
      <w:r>
        <w:rPr>
          <w:b/>
        </w:rPr>
        <w:t>Measure where you are.</w:t>
      </w:r>
      <w:r>
        <w:rPr>
          <w:b w:val="0"/>
          <w:i w:val="0"/>
        </w:rPr>
        <w:t xml:space="preserve"> Fill the readiness questionnaire (GOV-REG-28) honestly, as PB-08 describes. It gives you a score by domain and a list of gaps. Every unknown becomes a line with an owner and a due date.</w:t>
      </w:r>
    </w:p>
    <w:p>
      <w:r>
        <w:rPr>
          <w:b w:val="0"/>
          <w:i w:val="0"/>
        </w:rPr>
        <w:t xml:space="preserve">4.3 </w:t>
      </w:r>
      <w:r>
        <w:rPr>
          <w:b/>
        </w:rPr>
        <w:t>Put the backbone in place.</w:t>
      </w:r>
      <w:r>
        <w:rPr>
          <w:b w:val="0"/>
          <w:i w:val="0"/>
        </w:rPr>
        <w:t xml:space="preserve"> Issue the governance framework (GOV-POL-01), the information security policy (GOV-POL-03) and the document control procedure (GOV-PRO-01), and open the master list of documents (GOV-REG-01). These set who decides, what the rules are and how documents are kept.</w:t>
      </w:r>
    </w:p>
    <w:p>
      <w:r>
        <w:rPr>
          <w:b w:val="0"/>
          <w:i w:val="0"/>
        </w:rPr>
        <w:t xml:space="preserve">4.4 </w:t>
      </w:r>
      <w:r>
        <w:rPr>
          <w:b/>
        </w:rPr>
        <w:t>Know what you have.</w:t>
      </w:r>
      <w:r>
        <w:rPr>
          <w:b w:val="0"/>
          <w:i w:val="0"/>
        </w:rPr>
        <w:t xml:space="preserve"> Build the asset register (GOV-REG-10), then run the risk method (GOV-PRO-05) on your most important systems and complete the Statement of Applicability (ISMS-REG-01) or the control matrix (SOC-REG-01).</w:t>
      </w:r>
    </w:p>
    <w:p>
      <w:r>
        <w:rPr>
          <w:b w:val="0"/>
          <w:i w:val="0"/>
        </w:rPr>
        <w:t xml:space="preserve">4.5 </w:t>
      </w:r>
      <w:r>
        <w:rPr>
          <w:b/>
        </w:rPr>
        <w:t>Adopt the controls that match your risks.</w:t>
      </w:r>
      <w:r>
        <w:rPr>
          <w:b w:val="0"/>
          <w:i w:val="0"/>
        </w:rPr>
        <w:t xml:space="preserve"> Take the operating procedures and topic policies that your risks and your framework call for, give each a single owner, and start the evidence calendar (SOC-REG-02 or your own).</w:t>
      </w:r>
    </w:p>
    <w:p>
      <w:r>
        <w:rPr>
          <w:b w:val="0"/>
          <w:i w:val="0"/>
        </w:rPr>
        <w:t xml:space="preserve">4.6 </w:t>
      </w:r>
      <w:r>
        <w:rPr>
          <w:b/>
        </w:rPr>
        <w:t>Customise every document.</w:t>
      </w:r>
      <w:r>
        <w:rPr>
          <w:b w:val="0"/>
          <w:i w:val="0"/>
        </w:rPr>
        <w:t xml:space="preserve"> Replace every item in square brackets, remove what does not apply, set the roles to your own, and have the approver sign. The documents ship as templates; they are only yours once you have done this.</w:t>
      </w:r>
    </w:p>
    <w:p>
      <w:pPr>
        <w:pStyle w:val="Heading1"/>
      </w:pPr>
      <w:r>
        <w:t>5. The rules that keep it safe</w:t>
      </w:r>
    </w:p>
    <w:p>
      <w:pPr>
        <w:pStyle w:val="ListBullet"/>
      </w:pPr>
      <w:r>
        <w:rPr>
          <w:b w:val="0"/>
          <w:i w:val="0"/>
        </w:rPr>
        <w:t>A template proves nothing. Keep filled registers, evidence, screenshots and anything that names your organisation in your own controlled storage, never in a public fork of this kit.</w:t>
      </w:r>
    </w:p>
    <w:p>
      <w:pPr>
        <w:pStyle w:val="ListBullet"/>
      </w:pPr>
      <w:r>
        <w:rPr>
          <w:b w:val="0"/>
          <w:i w:val="0"/>
        </w:rPr>
        <w:t>Do not claim to be certified or compliant because you adopted the documents. Say what is true: that you have implemented the management system and are maintaining evidence.</w:t>
      </w:r>
    </w:p>
    <w:p>
      <w:pPr>
        <w:pStyle w:val="ListBullet"/>
      </w:pPr>
      <w:r>
        <w:rPr>
          <w:b w:val="0"/>
          <w:i w:val="0"/>
        </w:rPr>
        <w:t>Follow the no-assumption rule from PB-09: every unknown becomes a line with an owner and a due date, and every gap becomes a corrective action.</w:t>
      </w:r>
    </w:p>
    <w:p>
      <w:pPr>
        <w:pStyle w:val="ListBullet"/>
      </w:pPr>
      <w:r>
        <w:rPr>
          <w:b w:val="0"/>
          <w:i w:val="0"/>
        </w:rPr>
        <w:t>Name real, analyst-driven work in your evidence, and describe what your systems actually do. Do not overstate scope or coverage.</w:t>
      </w:r>
    </w:p>
    <w:p>
      <w:pPr>
        <w:pStyle w:val="Heading1"/>
      </w:pPr>
      <w:r>
        <w:t>6. How it fits together</w:t>
      </w:r>
    </w:p>
    <w:p>
      <w:r>
        <w:rPr>
          <w:b w:val="0"/>
          <w:i w:val="0"/>
        </w:rPr>
        <w:t>A policy says what must be true. A procedure says how it is done. A register records what happened. Evidence proves it. The kit gives you the first three; you produce the fourth by running the programme. The playbooks tell you the order of work; the guides explain each framework; the crosswalk (GOV-REG-27) shows where one control answers several frameworks at once.</w:t>
      </w:r>
    </w:p>
    <w:p>
      <w:pPr>
        <w:pStyle w:val="Heading1"/>
      </w:pPr>
      <w:r>
        <w:t>7. Keeping the kit current</w:t>
      </w:r>
    </w:p>
    <w:p>
      <w:r>
        <w:rPr>
          <w:b w:val="0"/>
          <w:i w:val="0"/>
        </w:rPr>
        <w:t>When you change a document, change it in your own copy and record the change in your master list. When the standards change, read the change and update the documents it affects. Review the whole set at least annually, and after any audit finding, incident or significant change.</w:t>
      </w:r>
    </w:p>
    <w:p>
      <w:pPr>
        <w:pStyle w:val="Heading1"/>
      </w:pPr>
      <w:r>
        <w:t>8. Related documents</w:t>
      </w:r>
    </w:p>
    <w:p>
      <w:pPr>
        <w:pStyle w:val="ListBullet"/>
      </w:pPr>
      <w:r>
        <w:rPr>
          <w:b w:val="0"/>
          <w:i w:val="0"/>
        </w:rPr>
        <w:t>PB-02 ISO/IEC 27001 in twelve steps</w:t>
      </w:r>
    </w:p>
    <w:p>
      <w:pPr>
        <w:pStyle w:val="ListBullet"/>
      </w:pPr>
      <w:r>
        <w:rPr>
          <w:b w:val="0"/>
          <w:i w:val="0"/>
        </w:rPr>
        <w:t>PB-03 SOC 2 Type 2 readiness in 90 days</w:t>
      </w:r>
    </w:p>
    <w:p>
      <w:pPr>
        <w:pStyle w:val="ListBullet"/>
      </w:pPr>
      <w:r>
        <w:rPr>
          <w:b w:val="0"/>
          <w:i w:val="0"/>
        </w:rPr>
        <w:t>PB-04 GDPR operations in ten steps</w:t>
      </w:r>
    </w:p>
    <w:p>
      <w:pPr>
        <w:pStyle w:val="ListBullet"/>
      </w:pPr>
      <w:r>
        <w:rPr>
          <w:b w:val="0"/>
          <w:i w:val="0"/>
        </w:rPr>
        <w:t>PB-08 Running a readiness assessment</w:t>
      </w:r>
    </w:p>
    <w:p>
      <w:pPr>
        <w:pStyle w:val="ListBullet"/>
      </w:pPr>
      <w:r>
        <w:rPr>
          <w:b w:val="0"/>
          <w:i w:val="0"/>
        </w:rPr>
        <w:t>PB-09 Evidence management</w:t>
      </w:r>
    </w:p>
    <w:p>
      <w:pPr>
        <w:pStyle w:val="ListBullet"/>
      </w:pPr>
      <w:r>
        <w:rPr>
          <w:b w:val="0"/>
          <w:i w:val="0"/>
        </w:rPr>
        <w:t>PB-10 Combining frameworks</w:t>
      </w:r>
    </w:p>
    <w:p>
      <w:pPr>
        <w:pStyle w:val="ListBullet"/>
      </w:pPr>
      <w:r>
        <w:rPr>
          <w:b w:val="0"/>
          <w:i w:val="0"/>
        </w:rPr>
        <w:t>PB-11 HIPAA readiness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PB-01  |  Playbook: start here, how to use this kit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