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GDPR-TPL-09</w:t>
      </w:r>
    </w:p>
    <w:p>
      <w:r>
        <w:rPr>
          <w:b/>
          <w:color w:val="0B2D4D"/>
          <w:sz w:val="44"/>
        </w:rPr>
        <w:t>Supplier GDPR assessment questionnaire</w:t>
      </w:r>
    </w:p>
    <w:p>
      <w:r>
        <w:rPr>
          <w:i/>
          <w:color w:val="526478"/>
        </w:rPr>
        <w:t>The questionnaire sent to any supplier that will process personal data for [Organisation], used with GOV-TPL-04 under GOV-PRO-06 to decide whether the supplier can be engaged as a processor, on what terms, and what must be fixed first.</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GDPR-TPL-09</w:t>
            </w:r>
          </w:p>
        </w:tc>
      </w:tr>
      <w:tr>
        <w:tc>
          <w:tcPr>
            <w:tcW w:type="dxa" w:w="2551"/>
            <w:shd w:val="clear" w:color="auto" w:fill="EEF3F8"/>
          </w:tcPr>
          <w:p>
            <w:pPr>
              <w:spacing w:after="40"/>
            </w:pPr>
            <w:r>
              <w:rPr>
                <w:b/>
                <w:sz w:val="19"/>
              </w:rPr>
              <w:t>Title</w:t>
            </w:r>
          </w:p>
        </w:tc>
        <w:tc>
          <w:tcPr>
            <w:tcW w:type="dxa" w:w="6803"/>
          </w:tcPr>
          <w:p>
            <w:pPr>
              <w:spacing w:after="40"/>
            </w:pPr>
            <w:r>
              <w:rPr>
                <w:sz w:val="19"/>
              </w:rPr>
              <w:t>Supplier GDPR assessment questionnaire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28; GDPR Article 44; ISO/IEC 27701 clause 7.2.6; ISO/IEC 27701 Annex B 8.5.6; ISO/IEC 27001:2022 Annex A 5.19</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Confidential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Send to every prospective supplier that will store, access or transmit personal data on the organisation's behalf, and to existing suppliers at their annual review. The security questions in GOV-TPL-04 are not repeated here; send both. Each answer needs evidence: a document, a screenshot, a contract clause or a certificate reference. An answer without evidence is scored as "not demonstrated". The Privacy Officer scores the outcome in section 8 and records it in GOV-REG-07 and, where the supplier is engaged, in PIMS-REG-06.</w:t>
      </w:r>
    </w:p>
    <w:p>
      <w:pPr>
        <w:pStyle w:val="Heading1"/>
      </w:pPr>
      <w:r>
        <w:t>1. Organisation facts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1.1</w:t>
            </w:r>
          </w:p>
        </w:tc>
        <w:tc>
          <w:tcPr>
            <w:tcW w:type="dxa" w:w="2436"/>
          </w:tcPr>
          <w:p>
            <w:pPr>
              <w:spacing w:after="40"/>
            </w:pPr>
            <w:r>
              <w:rPr>
                <w:b w:val="0"/>
                <w:i w:val="0"/>
                <w:sz w:val="19"/>
              </w:rPr>
              <w:t>Legal name, registered address and country of incorporation of the entity that will sign the contract.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1.2</w:t>
            </w:r>
          </w:p>
        </w:tc>
        <w:tc>
          <w:tcPr>
            <w:tcW w:type="dxa" w:w="2436"/>
          </w:tcPr>
          <w:p>
            <w:pPr>
              <w:spacing w:after="40"/>
            </w:pPr>
            <w:r>
              <w:rPr>
                <w:b w:val="0"/>
                <w:i w:val="0"/>
                <w:sz w:val="19"/>
              </w:rPr>
              <w:t>The role you will have for this service: processor acting on our instructions, independent controller, or both (explain).</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1.3</w:t>
            </w:r>
          </w:p>
        </w:tc>
        <w:tc>
          <w:tcPr>
            <w:tcW w:type="dxa" w:w="2436"/>
          </w:tcPr>
          <w:p>
            <w:pPr>
              <w:spacing w:after="40"/>
            </w:pPr>
            <w:r>
              <w:rPr>
                <w:b w:val="0"/>
                <w:i w:val="0"/>
                <w:sz w:val="19"/>
              </w:rPr>
              <w:t>Do you have a Data Protection Officer or privacy lead? Give the role and contact channel.</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1.4</w:t>
            </w:r>
          </w:p>
        </w:tc>
        <w:tc>
          <w:tcPr>
            <w:tcW w:type="dxa" w:w="2436"/>
          </w:tcPr>
          <w:p>
            <w:pPr>
              <w:spacing w:after="40"/>
            </w:pPr>
            <w:r>
              <w:rPr>
                <w:b w:val="0"/>
                <w:i w:val="0"/>
                <w:sz w:val="19"/>
              </w:rPr>
              <w:t>Have you been subject to a supervisory authority investigation, enforcement action or fine in the last five years? Describe.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1.5</w:t>
            </w:r>
          </w:p>
        </w:tc>
        <w:tc>
          <w:tcPr>
            <w:tcW w:type="dxa" w:w="2436"/>
          </w:tcPr>
          <w:p>
            <w:pPr>
              <w:spacing w:after="40"/>
            </w:pPr>
            <w:r>
              <w:rPr>
                <w:b w:val="0"/>
                <w:i w:val="0"/>
                <w:sz w:val="19"/>
              </w:rPr>
              <w:t>Have you had a personal data breach notified to an authority or to customers in the last three years? Describe the cause and the fix.</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1.6</w:t>
            </w:r>
          </w:p>
        </w:tc>
        <w:tc>
          <w:tcPr>
            <w:tcW w:type="dxa" w:w="2436"/>
          </w:tcPr>
          <w:p>
            <w:pPr>
              <w:spacing w:after="40"/>
            </w:pPr>
            <w:r>
              <w:rPr>
                <w:b w:val="0"/>
                <w:i w:val="0"/>
                <w:sz w:val="19"/>
              </w:rPr>
              <w:t>Which privacy or security certifications or assurance reports do you hold, with scope and date?</w:t>
            </w:r>
          </w:p>
        </w:tc>
        <w:tc>
          <w:tcPr>
            <w:tcW w:type="dxa" w:w="2436"/>
          </w:tcPr>
          <w:p>
            <w:pPr>
              <w:spacing w:after="40"/>
            </w:pPr>
          </w:p>
        </w:tc>
        <w:tc>
          <w:tcPr>
            <w:tcW w:type="dxa" w:w="2436"/>
          </w:tcPr>
          <w:p>
            <w:pPr>
              <w:spacing w:after="40"/>
            </w:pPr>
          </w:p>
        </w:tc>
      </w:tr>
    </w:tbl>
    <w:p/>
    <w:p>
      <w:pPr>
        <w:pStyle w:val="Heading1"/>
      </w:pPr>
      <w:r>
        <w:t>2. Personal data facts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2.1</w:t>
            </w:r>
          </w:p>
        </w:tc>
        <w:tc>
          <w:tcPr>
            <w:tcW w:type="dxa" w:w="2436"/>
          </w:tcPr>
          <w:p>
            <w:pPr>
              <w:spacing w:after="40"/>
            </w:pPr>
            <w:r>
              <w:rPr>
                <w:b w:val="0"/>
                <w:i w:val="0"/>
                <w:sz w:val="19"/>
              </w:rPr>
              <w:t>Which categories of our personal data will you process, and for which purposes?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2.2</w:t>
            </w:r>
          </w:p>
        </w:tc>
        <w:tc>
          <w:tcPr>
            <w:tcW w:type="dxa" w:w="2436"/>
          </w:tcPr>
          <w:p>
            <w:pPr>
              <w:spacing w:after="40"/>
            </w:pPr>
            <w:r>
              <w:rPr>
                <w:b w:val="0"/>
                <w:i w:val="0"/>
                <w:sz w:val="19"/>
              </w:rPr>
              <w:t>Will you use any of our personal data for your own purposes, including analytics, product improvement or training models? If yes, on what basis and can it be switched off?</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2.3</w:t>
            </w:r>
          </w:p>
        </w:tc>
        <w:tc>
          <w:tcPr>
            <w:tcW w:type="dxa" w:w="2436"/>
          </w:tcPr>
          <w:p>
            <w:pPr>
              <w:spacing w:after="40"/>
            </w:pPr>
            <w:r>
              <w:rPr>
                <w:b w:val="0"/>
                <w:i w:val="0"/>
                <w:sz w:val="19"/>
              </w:rPr>
              <w:t>Will you process any special category data or data about children? What additional controls apply?</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2.4</w:t>
            </w:r>
          </w:p>
        </w:tc>
        <w:tc>
          <w:tcPr>
            <w:tcW w:type="dxa" w:w="2436"/>
          </w:tcPr>
          <w:p>
            <w:pPr>
              <w:spacing w:after="40"/>
            </w:pPr>
            <w:r>
              <w:rPr>
                <w:b w:val="0"/>
                <w:i w:val="0"/>
                <w:sz w:val="19"/>
              </w:rPr>
              <w:t>Do you keep a record of processing activities covering the service? Provide the relevant extract.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2.5</w:t>
            </w:r>
          </w:p>
        </w:tc>
        <w:tc>
          <w:tcPr>
            <w:tcW w:type="dxa" w:w="2436"/>
          </w:tcPr>
          <w:p>
            <w:pPr>
              <w:spacing w:after="40"/>
            </w:pPr>
            <w:r>
              <w:rPr>
                <w:b w:val="0"/>
                <w:i w:val="0"/>
                <w:sz w:val="19"/>
              </w:rPr>
              <w:t>How do you apply data minimisation and retention limits within the service? What is retained after we delete a record or close the account?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2.6</w:t>
            </w:r>
          </w:p>
        </w:tc>
        <w:tc>
          <w:tcPr>
            <w:tcW w:type="dxa" w:w="2436"/>
          </w:tcPr>
          <w:p>
            <w:pPr>
              <w:spacing w:after="40"/>
            </w:pPr>
            <w:r>
              <w:rPr>
                <w:b w:val="0"/>
                <w:i w:val="0"/>
                <w:sz w:val="19"/>
              </w:rPr>
              <w:t>Can you return and then delete all our personal data at the end of the contract, within what period, and how do you confirm deletion, including from backups?</w:t>
            </w:r>
          </w:p>
        </w:tc>
        <w:tc>
          <w:tcPr>
            <w:tcW w:type="dxa" w:w="2436"/>
          </w:tcPr>
          <w:p>
            <w:pPr>
              <w:spacing w:after="40"/>
            </w:pPr>
          </w:p>
        </w:tc>
        <w:tc>
          <w:tcPr>
            <w:tcW w:type="dxa" w:w="2436"/>
          </w:tcPr>
          <w:p>
            <w:pPr>
              <w:spacing w:after="40"/>
            </w:pPr>
          </w:p>
        </w:tc>
      </w:tr>
    </w:tbl>
    <w:p/>
    <w:p>
      <w:pPr>
        <w:pStyle w:val="Heading1"/>
      </w:pPr>
      <w:r>
        <w:t>3. Security of personal data</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3.1</w:t>
            </w:r>
          </w:p>
        </w:tc>
        <w:tc>
          <w:tcPr>
            <w:tcW w:type="dxa" w:w="2436"/>
          </w:tcPr>
          <w:p>
            <w:pPr>
              <w:spacing w:after="40"/>
            </w:pPr>
            <w:r>
              <w:rPr>
                <w:b w:val="0"/>
                <w:i w:val="0"/>
                <w:sz w:val="19"/>
              </w:rPr>
              <w:t>Describe the technical and organisational measures that protect our data: encryption at rest and in transit, access control, logging, segregation between customers.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3.2</w:t>
            </w:r>
          </w:p>
        </w:tc>
        <w:tc>
          <w:tcPr>
            <w:tcW w:type="dxa" w:w="2436"/>
          </w:tcPr>
          <w:p>
            <w:pPr>
              <w:spacing w:after="40"/>
            </w:pPr>
            <w:r>
              <w:rPr>
                <w:b w:val="0"/>
                <w:i w:val="0"/>
                <w:sz w:val="19"/>
              </w:rPr>
              <w:t>How is access to our data by your staff restricted, logged and reviewed? Can we see the logs on request?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3.3</w:t>
            </w:r>
          </w:p>
        </w:tc>
        <w:tc>
          <w:tcPr>
            <w:tcW w:type="dxa" w:w="2436"/>
          </w:tcPr>
          <w:p>
            <w:pPr>
              <w:spacing w:after="40"/>
            </w:pPr>
            <w:r>
              <w:rPr>
                <w:b w:val="0"/>
                <w:i w:val="0"/>
                <w:sz w:val="19"/>
              </w:rPr>
              <w:t>Is personal data pseudonymised or encrypted so that your staff cannot read it without a recorded need?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3.4</w:t>
            </w:r>
          </w:p>
        </w:tc>
        <w:tc>
          <w:tcPr>
            <w:tcW w:type="dxa" w:w="2436"/>
          </w:tcPr>
          <w:p>
            <w:pPr>
              <w:spacing w:after="40"/>
            </w:pPr>
            <w:r>
              <w:rPr>
                <w:b w:val="0"/>
                <w:i w:val="0"/>
                <w:sz w:val="19"/>
              </w:rPr>
              <w:t>How do you test the effectiveness of your measures (independent testing, audits), and how often?</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3.5</w:t>
            </w:r>
          </w:p>
        </w:tc>
        <w:tc>
          <w:tcPr>
            <w:tcW w:type="dxa" w:w="2436"/>
          </w:tcPr>
          <w:p>
            <w:pPr>
              <w:spacing w:after="40"/>
            </w:pPr>
            <w:r>
              <w:rPr>
                <w:b w:val="0"/>
                <w:i w:val="0"/>
                <w:sz w:val="19"/>
              </w:rPr>
              <w:t>Are all staff with access bound by confidentiality and trained in data protection? Provide the completion rate.</w:t>
            </w:r>
          </w:p>
        </w:tc>
        <w:tc>
          <w:tcPr>
            <w:tcW w:type="dxa" w:w="2436"/>
          </w:tcPr>
          <w:p>
            <w:pPr>
              <w:spacing w:after="40"/>
            </w:pPr>
          </w:p>
        </w:tc>
        <w:tc>
          <w:tcPr>
            <w:tcW w:type="dxa" w:w="2436"/>
          </w:tcPr>
          <w:p>
            <w:pPr>
              <w:spacing w:after="40"/>
            </w:pPr>
          </w:p>
        </w:tc>
      </w:tr>
    </w:tbl>
    <w:p/>
    <w:p>
      <w:pPr>
        <w:pStyle w:val="Heading1"/>
      </w:pPr>
      <w:r>
        <w:t>4. Sub-processing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4.1</w:t>
            </w:r>
          </w:p>
        </w:tc>
        <w:tc>
          <w:tcPr>
            <w:tcW w:type="dxa" w:w="2436"/>
          </w:tcPr>
          <w:p>
            <w:pPr>
              <w:spacing w:after="40"/>
            </w:pPr>
            <w:r>
              <w:rPr>
                <w:b w:val="0"/>
                <w:i w:val="0"/>
                <w:sz w:val="19"/>
              </w:rPr>
              <w:t>List every sub-processor that will process our data, with its role, location and the data it receives.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4.2</w:t>
            </w:r>
          </w:p>
        </w:tc>
        <w:tc>
          <w:tcPr>
            <w:tcW w:type="dxa" w:w="2436"/>
          </w:tcPr>
          <w:p>
            <w:pPr>
              <w:spacing w:after="40"/>
            </w:pPr>
            <w:r>
              <w:rPr>
                <w:b w:val="0"/>
                <w:i w:val="0"/>
                <w:sz w:val="19"/>
              </w:rPr>
              <w:t>How do you tell us before adding or replacing a sub-processor, how much notice is given, and can we object?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4.3</w:t>
            </w:r>
          </w:p>
        </w:tc>
        <w:tc>
          <w:tcPr>
            <w:tcW w:type="dxa" w:w="2436"/>
          </w:tcPr>
          <w:p>
            <w:pPr>
              <w:spacing w:after="40"/>
            </w:pPr>
            <w:r>
              <w:rPr>
                <w:b w:val="0"/>
                <w:i w:val="0"/>
                <w:sz w:val="19"/>
              </w:rPr>
              <w:t>Do your sub-processor contracts impose the same obligations that our contract imposes on you? Provide a template clause.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4.4</w:t>
            </w:r>
          </w:p>
        </w:tc>
        <w:tc>
          <w:tcPr>
            <w:tcW w:type="dxa" w:w="2436"/>
          </w:tcPr>
          <w:p>
            <w:pPr>
              <w:spacing w:after="40"/>
            </w:pPr>
            <w:r>
              <w:rPr>
                <w:b w:val="0"/>
                <w:i w:val="0"/>
                <w:sz w:val="19"/>
              </w:rPr>
              <w:t>Do you audit your sub-processors, and how often?</w:t>
            </w:r>
          </w:p>
        </w:tc>
        <w:tc>
          <w:tcPr>
            <w:tcW w:type="dxa" w:w="2436"/>
          </w:tcPr>
          <w:p>
            <w:pPr>
              <w:spacing w:after="40"/>
            </w:pPr>
          </w:p>
        </w:tc>
        <w:tc>
          <w:tcPr>
            <w:tcW w:type="dxa" w:w="2436"/>
          </w:tcPr>
          <w:p>
            <w:pPr>
              <w:spacing w:after="40"/>
            </w:pPr>
          </w:p>
        </w:tc>
      </w:tr>
    </w:tbl>
    <w:p/>
    <w:p>
      <w:pPr>
        <w:pStyle w:val="Heading1"/>
      </w:pPr>
      <w:r>
        <w:t>5. Location and transfers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5.1</w:t>
            </w:r>
          </w:p>
        </w:tc>
        <w:tc>
          <w:tcPr>
            <w:tcW w:type="dxa" w:w="2436"/>
          </w:tcPr>
          <w:p>
            <w:pPr>
              <w:spacing w:after="40"/>
            </w:pPr>
            <w:r>
              <w:rPr>
                <w:b w:val="0"/>
                <w:i w:val="0"/>
                <w:sz w:val="19"/>
              </w:rPr>
              <w:t>In which countries will our data be stored, including replicas and backups?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5.2</w:t>
            </w:r>
          </w:p>
        </w:tc>
        <w:tc>
          <w:tcPr>
            <w:tcW w:type="dxa" w:w="2436"/>
          </w:tcPr>
          <w:p>
            <w:pPr>
              <w:spacing w:after="40"/>
            </w:pPr>
            <w:r>
              <w:rPr>
                <w:b w:val="0"/>
                <w:i w:val="0"/>
                <w:sz w:val="19"/>
              </w:rPr>
              <w:t>From which countries will your staff or sub-processors access our data, including support and operations?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5.3</w:t>
            </w:r>
          </w:p>
        </w:tc>
        <w:tc>
          <w:tcPr>
            <w:tcW w:type="dxa" w:w="2436"/>
          </w:tcPr>
          <w:p>
            <w:pPr>
              <w:spacing w:after="40"/>
            </w:pPr>
            <w:r>
              <w:rPr>
                <w:b w:val="0"/>
                <w:i w:val="0"/>
                <w:sz w:val="19"/>
              </w:rPr>
              <w:t>Can we choose the storage region, and is that choice enforced technically?</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5.4</w:t>
            </w:r>
          </w:p>
        </w:tc>
        <w:tc>
          <w:tcPr>
            <w:tcW w:type="dxa" w:w="2436"/>
          </w:tcPr>
          <w:p>
            <w:pPr>
              <w:spacing w:after="40"/>
            </w:pPr>
            <w:r>
              <w:rPr>
                <w:b w:val="0"/>
                <w:i w:val="0"/>
                <w:sz w:val="19"/>
              </w:rPr>
              <w:t>For each transfer outside [region], which mechanism applies, and will you sign the standard contractual clauses in the module we specify?</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5.5</w:t>
            </w:r>
          </w:p>
        </w:tc>
        <w:tc>
          <w:tcPr>
            <w:tcW w:type="dxa" w:w="2436"/>
          </w:tcPr>
          <w:p>
            <w:pPr>
              <w:spacing w:after="40"/>
            </w:pPr>
            <w:r>
              <w:rPr>
                <w:b w:val="0"/>
                <w:i w:val="0"/>
                <w:sz w:val="19"/>
              </w:rPr>
              <w:t>Have you assessed the laws of each destination country and can you share that assessment? Have you received government demands for customer data, and do you publish a transparency report?</w:t>
            </w:r>
          </w:p>
        </w:tc>
        <w:tc>
          <w:tcPr>
            <w:tcW w:type="dxa" w:w="2436"/>
          </w:tcPr>
          <w:p>
            <w:pPr>
              <w:spacing w:after="40"/>
            </w:pPr>
          </w:p>
        </w:tc>
        <w:tc>
          <w:tcPr>
            <w:tcW w:type="dxa" w:w="2436"/>
          </w:tcPr>
          <w:p>
            <w:pPr>
              <w:spacing w:after="40"/>
            </w:pPr>
          </w:p>
        </w:tc>
      </w:tr>
    </w:tbl>
    <w:p/>
    <w:p>
      <w:pPr>
        <w:pStyle w:val="Heading1"/>
      </w:pPr>
      <w:r>
        <w:t>6. Assistance and rights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6.1</w:t>
            </w:r>
          </w:p>
        </w:tc>
        <w:tc>
          <w:tcPr>
            <w:tcW w:type="dxa" w:w="2436"/>
          </w:tcPr>
          <w:p>
            <w:pPr>
              <w:spacing w:after="40"/>
            </w:pPr>
            <w:r>
              <w:rPr>
                <w:b w:val="0"/>
                <w:i w:val="0"/>
                <w:sz w:val="19"/>
              </w:rPr>
              <w:t>How do you help us respond to data subject requests (access, deletion, portability) within our one month deadline? Is there a self-service export and delete?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6.2</w:t>
            </w:r>
          </w:p>
        </w:tc>
        <w:tc>
          <w:tcPr>
            <w:tcW w:type="dxa" w:w="2436"/>
          </w:tcPr>
          <w:p>
            <w:pPr>
              <w:spacing w:after="40"/>
            </w:pPr>
            <w:r>
              <w:rPr>
                <w:b w:val="0"/>
                <w:i w:val="0"/>
                <w:sz w:val="19"/>
              </w:rPr>
              <w:t>Within how many hours of becoming aware will you notify us of a personal data breach affecting our data, and what will the notification contain?</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6.3</w:t>
            </w:r>
          </w:p>
        </w:tc>
        <w:tc>
          <w:tcPr>
            <w:tcW w:type="dxa" w:w="2436"/>
          </w:tcPr>
          <w:p>
            <w:pPr>
              <w:spacing w:after="40"/>
            </w:pPr>
            <w:r>
              <w:rPr>
                <w:b w:val="0"/>
                <w:i w:val="0"/>
                <w:sz w:val="19"/>
              </w:rPr>
              <w:t>Will you support our data protection impact assessments and prior consultation with an authority, and on what terms?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6.4</w:t>
            </w:r>
          </w:p>
        </w:tc>
        <w:tc>
          <w:tcPr>
            <w:tcW w:type="dxa" w:w="2436"/>
          </w:tcPr>
          <w:p>
            <w:pPr>
              <w:spacing w:after="40"/>
            </w:pPr>
            <w:r>
              <w:rPr>
                <w:b w:val="0"/>
                <w:i w:val="0"/>
                <w:sz w:val="19"/>
              </w:rPr>
              <w:t>Will you tell us if an instruction we give appears to infringe data protection law?</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6.5</w:t>
            </w:r>
          </w:p>
        </w:tc>
        <w:tc>
          <w:tcPr>
            <w:tcW w:type="dxa" w:w="2436"/>
          </w:tcPr>
          <w:p>
            <w:pPr>
              <w:spacing w:after="40"/>
            </w:pPr>
            <w:r>
              <w:rPr>
                <w:b w:val="0"/>
                <w:i w:val="0"/>
                <w:sz w:val="19"/>
              </w:rPr>
              <w:t>What audit rights do you offer: on-site audit, remote audit, third party reports? What notice and cost apply?</w:t>
            </w:r>
          </w:p>
        </w:tc>
        <w:tc>
          <w:tcPr>
            <w:tcW w:type="dxa" w:w="2436"/>
          </w:tcPr>
          <w:p>
            <w:pPr>
              <w:spacing w:after="40"/>
            </w:pPr>
          </w:p>
        </w:tc>
        <w:tc>
          <w:tcPr>
            <w:tcW w:type="dxa" w:w="2436"/>
          </w:tcPr>
          <w:p>
            <w:pPr>
              <w:spacing w:after="40"/>
            </w:pPr>
          </w:p>
        </w:tc>
      </w:tr>
    </w:tbl>
    <w:p/>
    <w:p>
      <w:pPr>
        <w:pStyle w:val="Heading1"/>
      </w:pPr>
      <w:r>
        <w:t>7. Contract and exit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7.1</w:t>
            </w:r>
          </w:p>
        </w:tc>
        <w:tc>
          <w:tcPr>
            <w:tcW w:type="dxa" w:w="2436"/>
          </w:tcPr>
          <w:p>
            <w:pPr>
              <w:spacing w:after="40"/>
            </w:pPr>
            <w:r>
              <w:rPr>
                <w:b w:val="0"/>
                <w:i w:val="0"/>
                <w:sz w:val="19"/>
              </w:rPr>
              <w:t>Will you sign our data processing agreement, or provide yours for review? Identify any clause you will not accept and why.</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7.2</w:t>
            </w:r>
          </w:p>
        </w:tc>
        <w:tc>
          <w:tcPr>
            <w:tcW w:type="dxa" w:w="2436"/>
          </w:tcPr>
          <w:p>
            <w:pPr>
              <w:spacing w:after="40"/>
            </w:pPr>
            <w:r>
              <w:rPr>
                <w:b w:val="0"/>
                <w:i w:val="0"/>
                <w:sz w:val="19"/>
              </w:rPr>
              <w:t>Does your contract require you to act only on our documented instructions, including for transfers?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7.3</w:t>
            </w:r>
          </w:p>
        </w:tc>
        <w:tc>
          <w:tcPr>
            <w:tcW w:type="dxa" w:w="2436"/>
          </w:tcPr>
          <w:p>
            <w:pPr>
              <w:spacing w:after="40"/>
            </w:pPr>
            <w:r>
              <w:rPr>
                <w:b w:val="0"/>
                <w:i w:val="0"/>
                <w:sz w:val="19"/>
              </w:rPr>
              <w:t>What happens to our data at the end of the contract, and in what format is it returned?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7.4</w:t>
            </w:r>
          </w:p>
        </w:tc>
        <w:tc>
          <w:tcPr>
            <w:tcW w:type="dxa" w:w="2436"/>
          </w:tcPr>
          <w:p>
            <w:pPr>
              <w:spacing w:after="40"/>
            </w:pPr>
            <w:r>
              <w:rPr>
                <w:b w:val="0"/>
                <w:i w:val="0"/>
                <w:sz w:val="19"/>
              </w:rPr>
              <w:t>What are your insurance arrangements for data protection liability?</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7.5</w:t>
            </w:r>
          </w:p>
        </w:tc>
        <w:tc>
          <w:tcPr>
            <w:tcW w:type="dxa" w:w="2436"/>
          </w:tcPr>
          <w:p>
            <w:pPr>
              <w:spacing w:after="40"/>
            </w:pPr>
            <w:r>
              <w:rPr>
                <w:b w:val="0"/>
                <w:i w:val="0"/>
                <w:sz w:val="19"/>
              </w:rPr>
              <w:t>What is your notice period for changes to the service that affect how personal data is processed?</w:t>
            </w:r>
          </w:p>
        </w:tc>
        <w:tc>
          <w:tcPr>
            <w:tcW w:type="dxa" w:w="2436"/>
          </w:tcPr>
          <w:p>
            <w:pPr>
              <w:spacing w:after="40"/>
            </w:pPr>
          </w:p>
        </w:tc>
        <w:tc>
          <w:tcPr>
            <w:tcW w:type="dxa" w:w="2436"/>
          </w:tcPr>
          <w:p>
            <w:pPr>
              <w:spacing w:after="40"/>
            </w:pPr>
          </w:p>
        </w:tc>
      </w:tr>
    </w:tbl>
    <w:p/>
    <w:p>
      <w:pPr>
        <w:pStyle w:val="Heading1"/>
      </w:pPr>
      <w:r>
        <w:t>8. Outcome</w:t>
      </w:r>
    </w:p>
    <w:p>
      <w:r>
        <w:rPr>
          <w:i/>
        </w:rPr>
        <w:t>Completed by the Privacy Officer. A "Block" on any item means the supplier cannot be engaged until it is resolved; the blocks are: use of our data for the supplier's own purposes without a switch-off (2.2); no deletion at exit (2.6); no breach notification commitment within 48 hours (6.2); undisclosed or unlimited sub-processing (4.1, 4.2); a transfer with no mechanism (5.4); refusal to sign processor terms (7.1).</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Supplier and service</w:t>
            </w:r>
          </w:p>
        </w:tc>
        <w:tc>
          <w:tcPr>
            <w:tcW w:type="dxa" w:w="4873"/>
          </w:tcPr>
          <w:p>
            <w:pPr>
              <w:spacing w:after="40"/>
            </w:pPr>
            <w:r>
              <w:rPr>
                <w:b w:val="0"/>
                <w:i w:val="0"/>
                <w:sz w:val="19"/>
              </w:rPr>
              <w:t>[Supplier], [service], GOV-REG-07 reference</w:t>
            </w:r>
          </w:p>
        </w:tc>
      </w:tr>
      <w:tr>
        <w:tc>
          <w:tcPr>
            <w:tcW w:type="dxa" w:w="4873"/>
          </w:tcPr>
          <w:p>
            <w:pPr>
              <w:spacing w:after="40"/>
            </w:pPr>
            <w:r>
              <w:rPr>
                <w:b/>
                <w:sz w:val="19"/>
              </w:rPr>
              <w:t>Tier under GOV-PRO-06</w:t>
            </w:r>
          </w:p>
        </w:tc>
        <w:tc>
          <w:tcPr>
            <w:tcW w:type="dxa" w:w="4873"/>
          </w:tcPr>
          <w:p>
            <w:pPr>
              <w:spacing w:after="40"/>
            </w:pPr>
            <w:r>
              <w:rPr>
                <w:b w:val="0"/>
                <w:i w:val="0"/>
                <w:sz w:val="19"/>
              </w:rPr>
              <w:t>[Tier]</w:t>
            </w:r>
          </w:p>
        </w:tc>
      </w:tr>
      <w:tr>
        <w:tc>
          <w:tcPr>
            <w:tcW w:type="dxa" w:w="4873"/>
          </w:tcPr>
          <w:p>
            <w:pPr>
              <w:spacing w:after="40"/>
            </w:pPr>
            <w:r>
              <w:rPr>
                <w:b/>
                <w:sz w:val="19"/>
              </w:rPr>
              <w:t>Items not demonstrated</w:t>
            </w:r>
          </w:p>
        </w:tc>
        <w:tc>
          <w:tcPr>
            <w:tcW w:type="dxa" w:w="4873"/>
          </w:tcPr>
          <w:p>
            <w:pPr>
              <w:spacing w:after="40"/>
            </w:pPr>
            <w:r>
              <w:rPr>
                <w:b w:val="0"/>
                <w:i w:val="0"/>
                <w:sz w:val="19"/>
              </w:rPr>
              <w:t>[List of question numbers]</w:t>
            </w:r>
          </w:p>
        </w:tc>
      </w:tr>
      <w:tr>
        <w:tc>
          <w:tcPr>
            <w:tcW w:type="dxa" w:w="4873"/>
          </w:tcPr>
          <w:p>
            <w:pPr>
              <w:spacing w:after="40"/>
            </w:pPr>
            <w:r>
              <w:rPr>
                <w:b/>
                <w:sz w:val="19"/>
              </w:rPr>
              <w:t>Blocks</w:t>
            </w:r>
          </w:p>
        </w:tc>
        <w:tc>
          <w:tcPr>
            <w:tcW w:type="dxa" w:w="4873"/>
          </w:tcPr>
          <w:p>
            <w:pPr>
              <w:spacing w:after="40"/>
            </w:pPr>
            <w:r>
              <w:rPr>
                <w:b w:val="0"/>
                <w:i w:val="0"/>
                <w:sz w:val="19"/>
              </w:rPr>
              <w:t>[None, or the list]</w:t>
            </w:r>
          </w:p>
        </w:tc>
      </w:tr>
      <w:tr>
        <w:tc>
          <w:tcPr>
            <w:tcW w:type="dxa" w:w="4873"/>
          </w:tcPr>
          <w:p>
            <w:pPr>
              <w:spacing w:after="40"/>
            </w:pPr>
            <w:r>
              <w:rPr>
                <w:b/>
                <w:sz w:val="19"/>
              </w:rPr>
              <w:t>Transfer impact assessment required</w:t>
            </w:r>
          </w:p>
        </w:tc>
        <w:tc>
          <w:tcPr>
            <w:tcW w:type="dxa" w:w="4873"/>
          </w:tcPr>
          <w:p>
            <w:pPr>
              <w:spacing w:after="40"/>
            </w:pPr>
            <w:r>
              <w:rPr>
                <w:b w:val="0"/>
                <w:i w:val="0"/>
                <w:sz w:val="19"/>
              </w:rPr>
              <w:t>[Yes or No]; GDPR-TPL-08 reference where Yes</w:t>
            </w:r>
          </w:p>
        </w:tc>
      </w:tr>
      <w:tr>
        <w:tc>
          <w:tcPr>
            <w:tcW w:type="dxa" w:w="4873"/>
          </w:tcPr>
          <w:p>
            <w:pPr>
              <w:spacing w:after="40"/>
            </w:pPr>
            <w:r>
              <w:rPr>
                <w:b/>
                <w:sz w:val="19"/>
              </w:rPr>
              <w:t>Decision</w:t>
            </w:r>
          </w:p>
        </w:tc>
        <w:tc>
          <w:tcPr>
            <w:tcW w:type="dxa" w:w="4873"/>
          </w:tcPr>
          <w:p>
            <w:pPr>
              <w:spacing w:after="40"/>
            </w:pPr>
            <w:r>
              <w:rPr>
                <w:b w:val="0"/>
                <w:i w:val="0"/>
                <w:sz w:val="19"/>
              </w:rPr>
              <w:t>[Approve as processor, Approve with conditions, Reject]</w:t>
            </w:r>
          </w:p>
        </w:tc>
      </w:tr>
      <w:tr>
        <w:tc>
          <w:tcPr>
            <w:tcW w:type="dxa" w:w="4873"/>
          </w:tcPr>
          <w:p>
            <w:pPr>
              <w:spacing w:after="40"/>
            </w:pPr>
            <w:r>
              <w:rPr>
                <w:b/>
                <w:sz w:val="19"/>
              </w:rPr>
              <w:t>Conditions and dates</w:t>
            </w:r>
          </w:p>
        </w:tc>
        <w:tc>
          <w:tcPr>
            <w:tcW w:type="dxa" w:w="4873"/>
          </w:tcPr>
          <w:p>
            <w:pPr>
              <w:spacing w:after="40"/>
            </w:pPr>
            <w:r>
              <w:rPr>
                <w:b w:val="0"/>
                <w:i w:val="0"/>
                <w:sz w:val="19"/>
              </w:rPr>
              <w:t>[Each condition, owner and date, for example: signed PIMS-TPL-02 before first data, region lock enabled and verified, sub-processor list added to PIMS-REG-06]</w:t>
            </w:r>
          </w:p>
        </w:tc>
      </w:tr>
      <w:tr>
        <w:tc>
          <w:tcPr>
            <w:tcW w:type="dxa" w:w="4873"/>
          </w:tcPr>
          <w:p>
            <w:pPr>
              <w:spacing w:after="40"/>
            </w:pPr>
            <w:r>
              <w:rPr>
                <w:b/>
                <w:sz w:val="19"/>
              </w:rPr>
              <w:t>Assessed by</w:t>
            </w:r>
          </w:p>
        </w:tc>
        <w:tc>
          <w:tcPr>
            <w:tcW w:type="dxa" w:w="4873"/>
          </w:tcPr>
          <w:p>
            <w:pPr>
              <w:spacing w:after="40"/>
            </w:pPr>
            <w:r>
              <w:rPr>
                <w:b w:val="0"/>
                <w:i w:val="0"/>
                <w:sz w:val="19"/>
              </w:rPr>
              <w:t>[Name], Privacy Officer, [Date]</w:t>
            </w:r>
          </w:p>
        </w:tc>
      </w:tr>
      <w:tr>
        <w:tc>
          <w:tcPr>
            <w:tcW w:type="dxa" w:w="4873"/>
          </w:tcPr>
          <w:p>
            <w:pPr>
              <w:spacing w:after="40"/>
            </w:pPr>
            <w:r>
              <w:rPr>
                <w:b/>
                <w:sz w:val="19"/>
              </w:rPr>
              <w:t>Next review</w:t>
            </w:r>
          </w:p>
        </w:tc>
        <w:tc>
          <w:tcPr>
            <w:tcW w:type="dxa" w:w="4873"/>
          </w:tcPr>
          <w:p>
            <w:pPr>
              <w:spacing w:after="40"/>
            </w:pPr>
            <w:r>
              <w:rPr>
                <w:b w:val="0"/>
                <w:i w:val="0"/>
                <w:sz w:val="19"/>
              </w:rPr>
              <w:t>[Date], annually or on a material change</w:t>
            </w:r>
          </w:p>
        </w:tc>
      </w:tr>
    </w:tbl>
    <w:p/>
    <w:p>
      <w:pPr>
        <w:pStyle w:val="Heading1"/>
      </w:pPr>
      <w:r>
        <w:t>9. Related documents</w:t>
      </w:r>
    </w:p>
    <w:p>
      <w:pPr>
        <w:pStyle w:val="ListBullet"/>
      </w:pPr>
      <w:r>
        <w:rPr>
          <w:b w:val="0"/>
          <w:i w:val="0"/>
        </w:rPr>
        <w:t>GOV-PRO-06 Supplier and third party security procedure</w:t>
      </w:r>
    </w:p>
    <w:p>
      <w:pPr>
        <w:pStyle w:val="ListBullet"/>
      </w:pPr>
      <w:r>
        <w:rPr>
          <w:b w:val="0"/>
          <w:i w:val="0"/>
        </w:rPr>
        <w:t>GOV-TPL-04 Supplier security and privacy questionnaire</w:t>
      </w:r>
    </w:p>
    <w:p>
      <w:pPr>
        <w:pStyle w:val="ListBullet"/>
      </w:pPr>
      <w:r>
        <w:rPr>
          <w:b w:val="0"/>
          <w:i w:val="0"/>
        </w:rPr>
        <w:t>GOV-REG-07 Supplier register</w:t>
      </w:r>
    </w:p>
    <w:p>
      <w:pPr>
        <w:pStyle w:val="ListBullet"/>
      </w:pPr>
      <w:r>
        <w:rPr>
          <w:b w:val="0"/>
          <w:i w:val="0"/>
        </w:rPr>
        <w:t>PIMS-REG-06 Processor and sub-processor register</w:t>
      </w:r>
    </w:p>
    <w:p>
      <w:pPr>
        <w:pStyle w:val="ListBullet"/>
      </w:pPr>
      <w:r>
        <w:rPr>
          <w:b w:val="0"/>
          <w:i w:val="0"/>
        </w:rPr>
        <w:t>PIMS-TPL-02 Data processing agreement template</w:t>
      </w:r>
    </w:p>
    <w:p>
      <w:pPr>
        <w:pStyle w:val="ListBullet"/>
      </w:pPr>
      <w:r>
        <w:rPr>
          <w:b w:val="0"/>
          <w:i w:val="0"/>
        </w:rPr>
        <w:t>GDPR-TPL-08 Transfer impact assessment template</w:t>
      </w:r>
    </w:p>
    <w:p>
      <w:pPr>
        <w:pStyle w:val="ListBullet"/>
      </w:pPr>
      <w:r>
        <w:rPr>
          <w:b w:val="0"/>
          <w:i w:val="0"/>
        </w:rPr>
        <w:t>PIMS-POL-03 International transfer policy</w:t>
      </w:r>
    </w:p>
    <w:p>
      <w:pPr>
        <w:pStyle w:val="ListBullet"/>
      </w:pPr>
      <w:r>
        <w:rPr>
          <w:b w:val="0"/>
          <w:i w:val="0"/>
        </w:rPr>
        <w:t>AI-PRO-02 AI vendor and model due diligence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GDPR-TPL-09  |  Supplier GDPR assessment questionnaire  |  Version 1.0  |  Confidential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