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HIPAA-PRO-02</w:t>
      </w:r>
    </w:p>
    <w:p>
      <w:r>
        <w:rPr>
          <w:b/>
          <w:color w:val="0B2D4D"/>
          <w:sz w:val="44"/>
        </w:rPr>
        <w:t>HIPAA breach notification procedure</w:t>
      </w:r>
    </w:p>
    <w:p>
      <w:r>
        <w:rPr>
          <w:i/>
          <w:color w:val="526478"/>
        </w:rPr>
        <w:t>How [Organisation] assesses whether an incident involving unsecured protected health information is a breach, and notifies the affected individuals, HHS and, in larger breaches, the media, within the time limits the HIPAA Breach Notification Rule sets.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HIPAA-PRO-02</w:t>
            </w:r>
          </w:p>
        </w:tc>
      </w:tr>
      <w:tr>
        <w:tc>
          <w:tcPr>
            <w:tcW w:type="dxa" w:w="2551"/>
            <w:shd w:val="clear" w:color="auto" w:fill="EEF3F8"/>
          </w:tcPr>
          <w:p>
            <w:pPr>
              <w:spacing w:after="40"/>
            </w:pPr>
            <w:r>
              <w:rPr>
                <w:b/>
                <w:sz w:val="19"/>
              </w:rPr>
              <w:t>Title</w:t>
            </w:r>
          </w:p>
        </w:tc>
        <w:tc>
          <w:tcPr>
            <w:tcW w:type="dxa" w:w="6803"/>
          </w:tcPr>
          <w:p>
            <w:pPr>
              <w:spacing w:after="40"/>
            </w:pPr>
            <w:r>
              <w:rPr>
                <w:sz w:val="19"/>
              </w:rPr>
              <w:t>HIPAA breach notification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HIPAA</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HIPAA 45 CFR 164.400; HIPAA 45 CFR 164.404; HIPAA 45 CFR 164.406; HIPAA 45 CFR 164.408; HIPAA 45 CFR 164.410</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handles a suspected breach of unsecured protected health information under the HIPAA Breach Notification Rule. It decides whether a breach has occurred, and makes the notifications the rule requires, within the time limits it sets.</w:t>
      </w:r>
    </w:p>
    <w:p>
      <w:pPr>
        <w:pStyle w:val="Heading1"/>
      </w:pPr>
      <w:r>
        <w:t>2. Scope</w:t>
      </w:r>
    </w:p>
    <w:p>
      <w:r>
        <w:rPr>
          <w:b w:val="0"/>
          <w:i w:val="0"/>
        </w:rPr>
        <w:t>It applies to any incident in which unsecured protected health information held by [Organisation] may have been accessed, acquired, used or disclosed in a way the Privacy Rule does not permit. Where [Organisation] is a business associate, it covers the duty to notify the covered entity. It follows from the incident procedure (GOV-PRO-07), which handles the security side.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Privacy Officer</w:t>
            </w:r>
          </w:p>
        </w:tc>
        <w:tc>
          <w:tcPr>
            <w:tcW w:type="dxa" w:w="4873"/>
          </w:tcPr>
          <w:p>
            <w:pPr>
              <w:spacing w:after="40"/>
            </w:pPr>
            <w:r>
              <w:rPr>
                <w:b w:val="0"/>
                <w:i w:val="0"/>
                <w:sz w:val="19"/>
              </w:rPr>
              <w:t>Leads the breach assessment and the notifications.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Provides the facts from the incident investigation.</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notifications and any decision that a breach has not occurred.</w:t>
            </w:r>
          </w:p>
        </w:tc>
      </w:tr>
    </w:tbl>
    <w:p/>
    <w:p>
      <w:pPr>
        <w:pStyle w:val="Heading1"/>
      </w:pPr>
      <w:r>
        <w:t>4. Procedure</w:t>
      </w:r>
    </w:p>
    <w:p>
      <w:r>
        <w:rPr>
          <w:b w:val="0"/>
          <w:i w:val="0"/>
        </w:rPr>
        <w:t xml:space="preserve">4.1 </w:t>
      </w:r>
      <w:r>
        <w:rPr>
          <w:b/>
        </w:rPr>
        <w:t>Identify and contain.</w:t>
      </w:r>
      <w:r>
        <w:rPr>
          <w:b w:val="0"/>
          <w:i w:val="0"/>
        </w:rPr>
        <w:t xml:space="preserve"> When an incident may involve protected health information, the incident team contains it and preserves the facts under GOV-PRO-07, and informs the Privacy Officer without delay. The discovery date is recorded, because it starts the clock.</w:t>
      </w:r>
    </w:p>
    <w:p>
      <w:r>
        <w:rPr>
          <w:b w:val="0"/>
          <w:i w:val="0"/>
        </w:rPr>
        <w:t xml:space="preserve">4.2 </w:t>
      </w:r>
      <w:r>
        <w:rPr>
          <w:b/>
        </w:rPr>
        <w:t>Decide whether the information was unsecured.</w:t>
      </w:r>
      <w:r>
        <w:rPr>
          <w:b w:val="0"/>
          <w:i w:val="0"/>
        </w:rPr>
        <w:t xml:space="preserve"> If the information was encrypted or destroyed to the standard the rule recognises, it is secured and the breach notification duties do not arise. Record the basis.</w:t>
      </w:r>
    </w:p>
    <w:p>
      <w:r>
        <w:rPr>
          <w:b w:val="0"/>
          <w:i w:val="0"/>
        </w:rPr>
        <w:t xml:space="preserve">4.3 </w:t>
      </w:r>
      <w:r>
        <w:rPr>
          <w:b/>
        </w:rPr>
        <w:t>Assess whether it is a breach.</w:t>
      </w:r>
      <w:r>
        <w:rPr>
          <w:b w:val="0"/>
          <w:i w:val="0"/>
        </w:rPr>
        <w:t xml:space="preserve"> Unless an exception applies, an impermissible use or disclosure is presumed to be a breach. Assess the probability that the information was compromised using at least four factors: the nature and extent of the information, who used it or to whom it was disclosed, whether it was actually acquired or viewed, and the extent to which the risk has been mitigated. Record the assessment and the conclusion.</w:t>
      </w:r>
    </w:p>
    <w:p>
      <w:r>
        <w:rPr>
          <w:b w:val="0"/>
          <w:i w:val="0"/>
        </w:rPr>
        <w:t xml:space="preserve">4.4 </w:t>
      </w:r>
      <w:r>
        <w:rPr>
          <w:b/>
        </w:rPr>
        <w:t>Notify affected individuals.</w:t>
      </w:r>
      <w:r>
        <w:rPr>
          <w:b w:val="0"/>
          <w:i w:val="0"/>
        </w:rPr>
        <w:t xml:space="preserve"> Where a breach is found, notify each affected individual without unreasonable delay and no later than sixty days after discovery. The notification describes what happened, the information involved, the steps individuals should take, what [Organisation] is doing, and how to ask questions.</w:t>
      </w:r>
    </w:p>
    <w:p>
      <w:r>
        <w:rPr>
          <w:b w:val="0"/>
          <w:i w:val="0"/>
        </w:rPr>
        <w:t xml:space="preserve">4.5 </w:t>
      </w:r>
      <w:r>
        <w:rPr>
          <w:b/>
        </w:rPr>
        <w:t>Notify HHS.</w:t>
      </w:r>
      <w:r>
        <w:rPr>
          <w:b w:val="0"/>
          <w:i w:val="0"/>
        </w:rPr>
        <w:t xml:space="preserve"> Report the breach to the Department of Health and Human Services. A breach affecting five hundred or more individuals is reported without unreasonable delay and no later than sixty days after discovery. A breach affecting fewer than five hundred is logged and reported to HHS within sixty days after the end of the calendar year.</w:t>
      </w:r>
    </w:p>
    <w:p>
      <w:r>
        <w:rPr>
          <w:b w:val="0"/>
          <w:i w:val="0"/>
        </w:rPr>
        <w:t xml:space="preserve">4.6 </w:t>
      </w:r>
      <w:r>
        <w:rPr>
          <w:b/>
        </w:rPr>
        <w:t>Notify the media.</w:t>
      </w:r>
      <w:r>
        <w:rPr>
          <w:b w:val="0"/>
          <w:i w:val="0"/>
        </w:rPr>
        <w:t xml:space="preserve"> Where a breach affects more than five hundred residents of a state or jurisdiction, notify prominent media outlets serving that area, within the same sixty-day limit.</w:t>
      </w:r>
    </w:p>
    <w:p>
      <w:r>
        <w:rPr>
          <w:b w:val="0"/>
          <w:i w:val="0"/>
        </w:rPr>
        <w:t xml:space="preserve">4.7 </w:t>
      </w:r>
      <w:r>
        <w:rPr>
          <w:b/>
        </w:rPr>
        <w:t>Business associate duty.</w:t>
      </w:r>
      <w:r>
        <w:rPr>
          <w:b w:val="0"/>
          <w:i w:val="0"/>
        </w:rPr>
        <w:t xml:space="preserve"> Where [Organisation] is a business associate, notify the covered entity of a breach without unreasonable delay and no later than sixty days after discovery, with the information the covered entity needs to make its own notifications.</w:t>
      </w:r>
    </w:p>
    <w:p>
      <w:r>
        <w:rPr>
          <w:b w:val="0"/>
          <w:i w:val="0"/>
        </w:rPr>
        <w:t xml:space="preserve">4.8 </w:t>
      </w:r>
      <w:r>
        <w:rPr>
          <w:b/>
        </w:rPr>
        <w:t>Record and improve.</w:t>
      </w:r>
      <w:r>
        <w:rPr>
          <w:b w:val="0"/>
          <w:i w:val="0"/>
        </w:rPr>
        <w:t xml:space="preserve"> Record every incident assessed, whether or not it was a breach, in the breach register (HIPAA-REG-03), and open a corrective action (GOV-REG-03) for the lessons.</w:t>
      </w:r>
    </w:p>
    <w:p>
      <w:pPr>
        <w:pStyle w:val="Heading1"/>
      </w:pPr>
      <w:r>
        <w:t>5. Records and evidence</w:t>
      </w:r>
    </w:p>
    <w:p>
      <w:pPr>
        <w:pStyle w:val="ListBullet"/>
      </w:pPr>
      <w:r>
        <w:rPr>
          <w:b w:val="0"/>
          <w:i w:val="0"/>
        </w:rPr>
        <w:t>The breach register (HIPAA-REG-03), including incidents assessed and found not to be breaches.</w:t>
      </w:r>
    </w:p>
    <w:p>
      <w:pPr>
        <w:pStyle w:val="ListBullet"/>
      </w:pPr>
      <w:r>
        <w:rPr>
          <w:b w:val="0"/>
          <w:i w:val="0"/>
        </w:rPr>
        <w:t>The four-factor risk assessment for each incident.</w:t>
      </w:r>
    </w:p>
    <w:p>
      <w:pPr>
        <w:pStyle w:val="ListBullet"/>
      </w:pPr>
      <w:r>
        <w:rPr>
          <w:b w:val="0"/>
          <w:i w:val="0"/>
        </w:rPr>
        <w:t>Copies of notifications to individuals, HHS and the media.</w:t>
      </w:r>
    </w:p>
    <w:p>
      <w:pPr>
        <w:pStyle w:val="ListBullet"/>
      </w:pPr>
      <w:r>
        <w:rPr>
          <w:b w:val="0"/>
          <w:i w:val="0"/>
        </w:rPr>
        <w:t>Business associate notifications to covered entities.</w:t>
      </w:r>
    </w:p>
    <w:p>
      <w:pPr>
        <w:pStyle w:val="Heading1"/>
      </w:pPr>
      <w:r>
        <w:t>6. Exceptions</w:t>
      </w:r>
    </w:p>
    <w:p>
      <w:r>
        <w:rPr>
          <w:b w:val="0"/>
          <w:i w:val="0"/>
        </w:rPr>
        <w:t>A decision that an incident is not a breach is recorded with the assessment that supports it and approved by the Chief Executive Officer. The exceptions in the rule, for certain good-faith or inadvertent internal disclosures, are applied only where the facts clearly meet them, and are recorded.</w:t>
      </w:r>
    </w:p>
    <w:p>
      <w:pPr>
        <w:pStyle w:val="Heading1"/>
      </w:pPr>
      <w:r>
        <w:t>7. Review and maintenance</w:t>
      </w:r>
    </w:p>
    <w:p>
      <w:r>
        <w:rPr>
          <w:b w:val="0"/>
          <w:i w:val="0"/>
        </w:rPr>
        <w:t>The Privacy Officer reviews this procedure annually and after any breach, and keeps the notification templates current.</w:t>
      </w:r>
    </w:p>
    <w:p>
      <w:pPr>
        <w:pStyle w:val="Heading1"/>
      </w:pPr>
      <w:r>
        <w:t>8. Related documents</w:t>
      </w:r>
    </w:p>
    <w:p>
      <w:pPr>
        <w:pStyle w:val="ListBullet"/>
      </w:pPr>
      <w:r>
        <w:rPr>
          <w:b w:val="0"/>
          <w:i w:val="0"/>
        </w:rPr>
        <w:t>HIPAA-POL-01 HIPAA privacy policy</w:t>
      </w:r>
    </w:p>
    <w:p>
      <w:pPr>
        <w:pStyle w:val="ListBullet"/>
      </w:pPr>
      <w:r>
        <w:rPr>
          <w:b w:val="0"/>
          <w:i w:val="0"/>
        </w:rPr>
        <w:t>HIPAA-POL-02 HIPAA security policy</w:t>
      </w:r>
    </w:p>
    <w:p>
      <w:pPr>
        <w:pStyle w:val="ListBullet"/>
      </w:pPr>
      <w:r>
        <w:rPr>
          <w:b w:val="0"/>
          <w:i w:val="0"/>
        </w:rPr>
        <w:t>GOV-PRO-07 Information security incident management procedure</w:t>
      </w:r>
    </w:p>
    <w:p>
      <w:pPr>
        <w:pStyle w:val="ListBullet"/>
      </w:pPr>
      <w:r>
        <w:rPr>
          <w:b w:val="0"/>
          <w:i w:val="0"/>
        </w:rPr>
        <w:t>HIPAA-REG-03 HIPAA breach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HIPAA-PRO-02  |  HIPAA breach notification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