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ISMS-PLN-02</w:t>
      </w:r>
    </w:p>
    <w:p>
      <w:r>
        <w:rPr>
          <w:b/>
          <w:color w:val="0B2D4D"/>
          <w:sz w:val="44"/>
        </w:rPr>
        <w:t>Communication plan</w:t>
      </w:r>
    </w:p>
    <w:p>
      <w:r>
        <w:rPr>
          <w:i/>
          <w:color w:val="526478"/>
        </w:rPr>
        <w:t>Who communicates what about information security and privacy, to whom, when and through which channel, inside and outside [Organisation], and how those communications are approved and recorded.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ISMS-PLN-02</w:t>
            </w:r>
          </w:p>
        </w:tc>
      </w:tr>
      <w:tr>
        <w:tc>
          <w:tcPr>
            <w:tcW w:type="dxa" w:w="2551"/>
            <w:shd w:val="clear" w:color="auto" w:fill="EEF3F8"/>
          </w:tcPr>
          <w:p>
            <w:pPr>
              <w:spacing w:after="40"/>
            </w:pPr>
            <w:r>
              <w:rPr>
                <w:b/>
                <w:sz w:val="19"/>
              </w:rPr>
              <w:t>Title</w:t>
            </w:r>
          </w:p>
        </w:tc>
        <w:tc>
          <w:tcPr>
            <w:tcW w:type="dxa" w:w="6803"/>
          </w:tcPr>
          <w:p>
            <w:pPr>
              <w:spacing w:after="40"/>
            </w:pPr>
            <w:r>
              <w:rPr>
                <w:sz w:val="19"/>
              </w:rPr>
              <w:t>Communication plan</w:t>
            </w:r>
          </w:p>
        </w:tc>
      </w:tr>
      <w:tr>
        <w:tc>
          <w:tcPr>
            <w:tcW w:type="dxa" w:w="2551"/>
            <w:shd w:val="clear" w:color="auto" w:fill="EEF3F8"/>
          </w:tcPr>
          <w:p>
            <w:pPr>
              <w:spacing w:after="40"/>
            </w:pPr>
            <w:r>
              <w:rPr>
                <w:b/>
                <w:sz w:val="19"/>
              </w:rPr>
              <w:t>Type</w:t>
            </w:r>
          </w:p>
        </w:tc>
        <w:tc>
          <w:tcPr>
            <w:tcW w:type="dxa" w:w="6803"/>
          </w:tcPr>
          <w:p>
            <w:pPr>
              <w:spacing w:after="40"/>
            </w:pPr>
            <w:r>
              <w:rPr>
                <w:sz w:val="19"/>
              </w:rPr>
              <w:t>Plan</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27001:2022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7.4; ISO/IEC 27701 clause 6.4.4; SOC 2 CC2.2; SOC 2 CC2.3</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plan fixes the routine communications that keep the management system working: staff hear about the rules and the results, leadership hears about performance and risk, and customers, regulators, suppliers and auditors hear what they are entitled to hear, on time and from an authorised voice.</w:t>
      </w:r>
    </w:p>
    <w:p>
      <w:pPr>
        <w:pStyle w:val="Heading1"/>
      </w:pPr>
      <w:r>
        <w:t>2. Scope</w:t>
      </w:r>
    </w:p>
    <w:p>
      <w:r>
        <w:rPr>
          <w:b w:val="0"/>
          <w:i w:val="0"/>
        </w:rPr>
        <w:t>It covers planned communications about the management system inside the scope of ISMS-STM-01 and to the interested parties in ISMS-REG-03. Communications during an incident or a personal data breach follow GOV-PRO-07 and PIMS-PRO-04; section 6 explains how this plan hands over to them.</w:t>
      </w:r>
    </w:p>
    <w:p>
      <w:pPr>
        <w:pStyle w:val="Heading1"/>
      </w:pPr>
      <w:r>
        <w:t>3. Principles</w:t>
      </w:r>
    </w:p>
    <w:p>
      <w:r>
        <w:rPr>
          <w:b w:val="0"/>
          <w:i w:val="0"/>
        </w:rPr>
        <w:t>3.1 Every communication in the tables below has one named sending role. Nobody else sends it, and a deputy is named for each when the role holder is absent.</w:t>
      </w:r>
    </w:p>
    <w:p>
      <w:r>
        <w:rPr>
          <w:b w:val="0"/>
          <w:i w:val="0"/>
        </w:rPr>
        <w:t>3.2 External statements about [Organisation]'s security or privacy posture, including answers to customer questionnaires, are approved by the Information Security Manager before they leave, and by the Chief Executive Officer when they commit [Organisation] to a new obligation.</w:t>
      </w:r>
    </w:p>
    <w:p>
      <w:r>
        <w:rPr>
          <w:b w:val="0"/>
          <w:i w:val="0"/>
        </w:rPr>
        <w:t>3.3 No communication claims a certification, an audit result or a level of compliance that a current certificate or report does not support. Safe wording is "operates an information security management system aligned with" until a certificate exists, and "certified to" with the scope wording from ISMS-STM-01 afterwards.</w:t>
      </w:r>
    </w:p>
    <w:p>
      <w:r>
        <w:rPr>
          <w:b w:val="0"/>
          <w:i w:val="0"/>
        </w:rPr>
        <w:t>3.4 Communications about individuals (disciplinary matters, personal data breaches affecting named people) go only to the roles with a need to know.</w:t>
      </w:r>
    </w:p>
    <w:p>
      <w:r>
        <w:rPr>
          <w:b w:val="0"/>
          <w:i w:val="0"/>
        </w:rPr>
        <w:t>3.5 A record is kept of what was sent, when, to whom and by whom. For internal broadcast items the record is the message in the channel; for external items it is a copy filed with the customer, supplier or regulator record.</w:t>
      </w:r>
    </w:p>
    <w:p>
      <w:pPr>
        <w:pStyle w:val="Heading1"/>
      </w:pPr>
      <w:r>
        <w:t>4. Internal communications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What</w:t>
            </w:r>
          </w:p>
        </w:tc>
        <w:tc>
          <w:tcPr>
            <w:tcW w:type="dxa" w:w="2436"/>
            <w:shd w:val="clear" w:color="auto" w:fill="EEF3F8"/>
          </w:tcPr>
          <w:p>
            <w:pPr>
              <w:spacing w:after="40"/>
            </w:pPr>
            <w:r>
              <w:rPr>
                <w:b/>
                <w:i w:val="0"/>
                <w:sz w:val="19"/>
              </w:rPr>
              <w:t>When</w:t>
            </w:r>
          </w:p>
        </w:tc>
        <w:tc>
          <w:tcPr>
            <w:tcW w:type="dxa" w:w="2436"/>
            <w:shd w:val="clear" w:color="auto" w:fill="EEF3F8"/>
          </w:tcPr>
          <w:p>
            <w:pPr>
              <w:spacing w:after="40"/>
            </w:pPr>
            <w:r>
              <w:rPr>
                <w:b/>
                <w:i w:val="0"/>
                <w:sz w:val="19"/>
              </w:rPr>
              <w:t>With whom</w:t>
            </w:r>
          </w:p>
        </w:tc>
        <w:tc>
          <w:tcPr>
            <w:tcW w:type="dxa" w:w="2436"/>
            <w:shd w:val="clear" w:color="auto" w:fill="EEF3F8"/>
          </w:tcPr>
          <w:p>
            <w:pPr>
              <w:spacing w:after="40"/>
            </w:pPr>
            <w:r>
              <w:rPr>
                <w:b/>
                <w:i w:val="0"/>
                <w:sz w:val="19"/>
              </w:rPr>
              <w:t>How and by whom</w:t>
            </w:r>
          </w:p>
        </w:tc>
      </w:tr>
      <w:tr>
        <w:tc>
          <w:tcPr>
            <w:tcW w:type="dxa" w:w="2436"/>
          </w:tcPr>
          <w:p>
            <w:pPr>
              <w:spacing w:after="40"/>
            </w:pPr>
            <w:r>
              <w:rPr>
                <w:b w:val="0"/>
                <w:i w:val="0"/>
                <w:sz w:val="19"/>
              </w:rPr>
              <w:t>New or changed policy or procedure</w:t>
            </w:r>
          </w:p>
        </w:tc>
        <w:tc>
          <w:tcPr>
            <w:tcW w:type="dxa" w:w="2436"/>
          </w:tcPr>
          <w:p>
            <w:pPr>
              <w:spacing w:after="40"/>
            </w:pPr>
            <w:r>
              <w:rPr>
                <w:b w:val="0"/>
                <w:i w:val="0"/>
                <w:sz w:val="19"/>
              </w:rPr>
              <w:t>On approval, within five working days</w:t>
            </w:r>
          </w:p>
        </w:tc>
        <w:tc>
          <w:tcPr>
            <w:tcW w:type="dxa" w:w="2436"/>
          </w:tcPr>
          <w:p>
            <w:pPr>
              <w:spacing w:after="40"/>
            </w:pPr>
            <w:r>
              <w:rPr>
                <w:b w:val="0"/>
                <w:i w:val="0"/>
                <w:sz w:val="19"/>
              </w:rPr>
              <w:t>All staff, or the roles the document applies to</w:t>
            </w:r>
          </w:p>
        </w:tc>
        <w:tc>
          <w:tcPr>
            <w:tcW w:type="dxa" w:w="2436"/>
          </w:tcPr>
          <w:p>
            <w:pPr>
              <w:spacing w:after="40"/>
            </w:pPr>
            <w:r>
              <w:rPr>
                <w:b w:val="0"/>
                <w:i w:val="0"/>
                <w:sz w:val="19"/>
              </w:rPr>
              <w:t>Announcement in the staff channel by the Information Security Manager; acknowledgement collected in GOV-REG-23</w:t>
            </w:r>
          </w:p>
        </w:tc>
      </w:tr>
      <w:tr>
        <w:tc>
          <w:tcPr>
            <w:tcW w:type="dxa" w:w="2436"/>
          </w:tcPr>
          <w:p>
            <w:pPr>
              <w:spacing w:after="40"/>
            </w:pPr>
            <w:r>
              <w:rPr>
                <w:b w:val="0"/>
                <w:i w:val="0"/>
                <w:sz w:val="19"/>
              </w:rPr>
              <w:t>Security objectives and quarterly performance</w:t>
            </w:r>
          </w:p>
        </w:tc>
        <w:tc>
          <w:tcPr>
            <w:tcW w:type="dxa" w:w="2436"/>
          </w:tcPr>
          <w:p>
            <w:pPr>
              <w:spacing w:after="40"/>
            </w:pPr>
            <w:r>
              <w:rPr>
                <w:b w:val="0"/>
                <w:i w:val="0"/>
                <w:sz w:val="19"/>
              </w:rPr>
              <w:t>Within ten working days of quarter end</w:t>
            </w:r>
          </w:p>
        </w:tc>
        <w:tc>
          <w:tcPr>
            <w:tcW w:type="dxa" w:w="2436"/>
          </w:tcPr>
          <w:p>
            <w:pPr>
              <w:spacing w:after="40"/>
            </w:pPr>
            <w:r>
              <w:rPr>
                <w:b w:val="0"/>
                <w:i w:val="0"/>
                <w:sz w:val="19"/>
              </w:rPr>
              <w:t>All staff (summary); steering committee (full report)</w:t>
            </w:r>
          </w:p>
        </w:tc>
        <w:tc>
          <w:tcPr>
            <w:tcW w:type="dxa" w:w="2436"/>
          </w:tcPr>
          <w:p>
            <w:pPr>
              <w:spacing w:after="40"/>
            </w:pPr>
            <w:r>
              <w:rPr>
                <w:b w:val="0"/>
                <w:i w:val="0"/>
                <w:sz w:val="19"/>
              </w:rPr>
              <w:t>Summary posted by the Information Security Manager; full report presented at the steering committee</w:t>
            </w:r>
          </w:p>
        </w:tc>
      </w:tr>
      <w:tr>
        <w:tc>
          <w:tcPr>
            <w:tcW w:type="dxa" w:w="2436"/>
          </w:tcPr>
          <w:p>
            <w:pPr>
              <w:spacing w:after="40"/>
            </w:pPr>
            <w:r>
              <w:rPr>
                <w:b w:val="0"/>
                <w:i w:val="0"/>
                <w:sz w:val="19"/>
              </w:rPr>
              <w:t>Awareness messages and training invitations</w:t>
            </w:r>
          </w:p>
        </w:tc>
        <w:tc>
          <w:tcPr>
            <w:tcW w:type="dxa" w:w="2436"/>
          </w:tcPr>
          <w:p>
            <w:pPr>
              <w:spacing w:after="40"/>
            </w:pPr>
            <w:r>
              <w:rPr>
                <w:b w:val="0"/>
                <w:i w:val="0"/>
                <w:sz w:val="19"/>
              </w:rPr>
              <w:t>Monthly message; induction and annual refresher per GOV-PRO-08</w:t>
            </w:r>
          </w:p>
        </w:tc>
        <w:tc>
          <w:tcPr>
            <w:tcW w:type="dxa" w:w="2436"/>
          </w:tcPr>
          <w:p>
            <w:pPr>
              <w:spacing w:after="40"/>
            </w:pPr>
            <w:r>
              <w:rPr>
                <w:b w:val="0"/>
                <w:i w:val="0"/>
                <w:sz w:val="19"/>
              </w:rPr>
              <w:t>All staff</w:t>
            </w:r>
          </w:p>
        </w:tc>
        <w:tc>
          <w:tcPr>
            <w:tcW w:type="dxa" w:w="2436"/>
          </w:tcPr>
          <w:p>
            <w:pPr>
              <w:spacing w:after="40"/>
            </w:pPr>
            <w:r>
              <w:rPr>
                <w:b w:val="0"/>
                <w:i w:val="0"/>
                <w:sz w:val="19"/>
              </w:rPr>
              <w:t>Staff channel and learning platform, sent by the Information Security Manager</w:t>
            </w:r>
          </w:p>
        </w:tc>
      </w:tr>
      <w:tr>
        <w:tc>
          <w:tcPr>
            <w:tcW w:type="dxa" w:w="2436"/>
          </w:tcPr>
          <w:p>
            <w:pPr>
              <w:spacing w:after="40"/>
            </w:pPr>
            <w:r>
              <w:rPr>
                <w:b w:val="0"/>
                <w:i w:val="0"/>
                <w:sz w:val="19"/>
              </w:rPr>
              <w:t>How to report a security event or a privacy concern</w:t>
            </w:r>
          </w:p>
        </w:tc>
        <w:tc>
          <w:tcPr>
            <w:tcW w:type="dxa" w:w="2436"/>
          </w:tcPr>
          <w:p>
            <w:pPr>
              <w:spacing w:after="40"/>
            </w:pPr>
            <w:r>
              <w:rPr>
                <w:b w:val="0"/>
                <w:i w:val="0"/>
                <w:sz w:val="19"/>
              </w:rPr>
              <w:t>At induction, and repeated quarterly</w:t>
            </w:r>
          </w:p>
        </w:tc>
        <w:tc>
          <w:tcPr>
            <w:tcW w:type="dxa" w:w="2436"/>
          </w:tcPr>
          <w:p>
            <w:pPr>
              <w:spacing w:after="40"/>
            </w:pPr>
            <w:r>
              <w:rPr>
                <w:b w:val="0"/>
                <w:i w:val="0"/>
                <w:sz w:val="19"/>
              </w:rPr>
              <w:t>All staff</w:t>
            </w:r>
          </w:p>
        </w:tc>
        <w:tc>
          <w:tcPr>
            <w:tcW w:type="dxa" w:w="2436"/>
          </w:tcPr>
          <w:p>
            <w:pPr>
              <w:spacing w:after="40"/>
            </w:pPr>
            <w:r>
              <w:rPr>
                <w:b w:val="0"/>
                <w:i w:val="0"/>
                <w:sz w:val="19"/>
              </w:rPr>
              <w:t>Poster or pinned message with the reporting channel, maintained by the Information Security Manager</w:t>
            </w:r>
          </w:p>
        </w:tc>
      </w:tr>
      <w:tr>
        <w:tc>
          <w:tcPr>
            <w:tcW w:type="dxa" w:w="2436"/>
          </w:tcPr>
          <w:p>
            <w:pPr>
              <w:spacing w:after="40"/>
            </w:pPr>
            <w:r>
              <w:rPr>
                <w:b w:val="0"/>
                <w:i w:val="0"/>
                <w:sz w:val="19"/>
              </w:rPr>
              <w:t>Risk register changes and new high or critical risks</w:t>
            </w:r>
          </w:p>
        </w:tc>
        <w:tc>
          <w:tcPr>
            <w:tcW w:type="dxa" w:w="2436"/>
          </w:tcPr>
          <w:p>
            <w:pPr>
              <w:spacing w:after="40"/>
            </w:pPr>
            <w:r>
              <w:rPr>
                <w:b w:val="0"/>
                <w:i w:val="0"/>
                <w:sz w:val="19"/>
              </w:rPr>
              <w:t>At each steering committee, and immediately for a new critical risk</w:t>
            </w:r>
          </w:p>
        </w:tc>
        <w:tc>
          <w:tcPr>
            <w:tcW w:type="dxa" w:w="2436"/>
          </w:tcPr>
          <w:p>
            <w:pPr>
              <w:spacing w:after="40"/>
            </w:pPr>
            <w:r>
              <w:rPr>
                <w:b w:val="0"/>
                <w:i w:val="0"/>
                <w:sz w:val="19"/>
              </w:rPr>
              <w:t>Steering committee, affected risk owners</w:t>
            </w:r>
          </w:p>
        </w:tc>
        <w:tc>
          <w:tcPr>
            <w:tcW w:type="dxa" w:w="2436"/>
          </w:tcPr>
          <w:p>
            <w:pPr>
              <w:spacing w:after="40"/>
            </w:pPr>
            <w:r>
              <w:rPr>
                <w:b w:val="0"/>
                <w:i w:val="0"/>
                <w:sz w:val="19"/>
              </w:rPr>
              <w:t>Agenda item presented by the Information Security Manager; critical risk by direct message the same day</w:t>
            </w:r>
          </w:p>
        </w:tc>
      </w:tr>
      <w:tr>
        <w:tc>
          <w:tcPr>
            <w:tcW w:type="dxa" w:w="2436"/>
          </w:tcPr>
          <w:p>
            <w:pPr>
              <w:spacing w:after="40"/>
            </w:pPr>
            <w:r>
              <w:rPr>
                <w:b w:val="0"/>
                <w:i w:val="0"/>
                <w:sz w:val="19"/>
              </w:rPr>
              <w:t>Access review requests</w:t>
            </w:r>
          </w:p>
        </w:tc>
        <w:tc>
          <w:tcPr>
            <w:tcW w:type="dxa" w:w="2436"/>
          </w:tcPr>
          <w:p>
            <w:pPr>
              <w:spacing w:after="40"/>
            </w:pPr>
            <w:r>
              <w:rPr>
                <w:b w:val="0"/>
                <w:i w:val="0"/>
                <w:sz w:val="19"/>
              </w:rPr>
              <w:t>Start of each quarter</w:t>
            </w:r>
          </w:p>
        </w:tc>
        <w:tc>
          <w:tcPr>
            <w:tcW w:type="dxa" w:w="2436"/>
          </w:tcPr>
          <w:p>
            <w:pPr>
              <w:spacing w:after="40"/>
            </w:pPr>
            <w:r>
              <w:rPr>
                <w:b w:val="0"/>
                <w:i w:val="0"/>
                <w:sz w:val="19"/>
              </w:rPr>
              <w:t>System Owners and line managers</w:t>
            </w:r>
          </w:p>
        </w:tc>
        <w:tc>
          <w:tcPr>
            <w:tcW w:type="dxa" w:w="2436"/>
          </w:tcPr>
          <w:p>
            <w:pPr>
              <w:spacing w:after="40"/>
            </w:pPr>
            <w:r>
              <w:rPr>
                <w:b w:val="0"/>
                <w:i w:val="0"/>
                <w:sz w:val="19"/>
              </w:rPr>
              <w:t>Ticket raised by the Information Security Manager with the due date from GOV-PRO-10</w:t>
            </w:r>
          </w:p>
        </w:tc>
      </w:tr>
      <w:tr>
        <w:tc>
          <w:tcPr>
            <w:tcW w:type="dxa" w:w="2436"/>
          </w:tcPr>
          <w:p>
            <w:pPr>
              <w:spacing w:after="40"/>
            </w:pPr>
            <w:r>
              <w:rPr>
                <w:b w:val="0"/>
                <w:i w:val="0"/>
                <w:sz w:val="19"/>
              </w:rPr>
              <w:t>Changes that affect security (new system, new supplier, architecture change)</w:t>
            </w:r>
          </w:p>
        </w:tc>
        <w:tc>
          <w:tcPr>
            <w:tcW w:type="dxa" w:w="2436"/>
          </w:tcPr>
          <w:p>
            <w:pPr>
              <w:spacing w:after="40"/>
            </w:pPr>
            <w:r>
              <w:rPr>
                <w:b w:val="0"/>
                <w:i w:val="0"/>
                <w:sz w:val="19"/>
              </w:rPr>
              <w:t>Before the change is approved</w:t>
            </w:r>
          </w:p>
        </w:tc>
        <w:tc>
          <w:tcPr>
            <w:tcW w:type="dxa" w:w="2436"/>
          </w:tcPr>
          <w:p>
            <w:pPr>
              <w:spacing w:after="40"/>
            </w:pPr>
            <w:r>
              <w:rPr>
                <w:b w:val="0"/>
                <w:i w:val="0"/>
                <w:sz w:val="19"/>
              </w:rPr>
              <w:t>Information Security Manager, Privacy Officer where personal data is involved</w:t>
            </w:r>
          </w:p>
        </w:tc>
        <w:tc>
          <w:tcPr>
            <w:tcW w:type="dxa" w:w="2436"/>
          </w:tcPr>
          <w:p>
            <w:pPr>
              <w:spacing w:after="40"/>
            </w:pPr>
            <w:r>
              <w:rPr>
                <w:b w:val="0"/>
                <w:i w:val="0"/>
                <w:sz w:val="19"/>
              </w:rPr>
              <w:t>Change request GOV-TPL-08 routed by the change requester</w:t>
            </w:r>
          </w:p>
        </w:tc>
      </w:tr>
      <w:tr>
        <w:tc>
          <w:tcPr>
            <w:tcW w:type="dxa" w:w="2436"/>
          </w:tcPr>
          <w:p>
            <w:pPr>
              <w:spacing w:after="40"/>
            </w:pPr>
            <w:r>
              <w:rPr>
                <w:b w:val="0"/>
                <w:i w:val="0"/>
                <w:sz w:val="19"/>
              </w:rPr>
              <w:t>Internal audit schedule and results</w:t>
            </w:r>
          </w:p>
        </w:tc>
        <w:tc>
          <w:tcPr>
            <w:tcW w:type="dxa" w:w="2436"/>
          </w:tcPr>
          <w:p>
            <w:pPr>
              <w:spacing w:after="40"/>
            </w:pPr>
            <w:r>
              <w:rPr>
                <w:b w:val="0"/>
                <w:i w:val="0"/>
                <w:sz w:val="19"/>
              </w:rPr>
              <w:t>Schedule at the start of the cycle; results within ten working days of the closing meeting</w:t>
            </w:r>
          </w:p>
        </w:tc>
        <w:tc>
          <w:tcPr>
            <w:tcW w:type="dxa" w:w="2436"/>
          </w:tcPr>
          <w:p>
            <w:pPr>
              <w:spacing w:after="40"/>
            </w:pPr>
            <w:r>
              <w:rPr>
                <w:b w:val="0"/>
                <w:i w:val="0"/>
                <w:sz w:val="19"/>
              </w:rPr>
              <w:t>Auditees, process owners, steering committee</w:t>
            </w:r>
          </w:p>
        </w:tc>
        <w:tc>
          <w:tcPr>
            <w:tcW w:type="dxa" w:w="2436"/>
          </w:tcPr>
          <w:p>
            <w:pPr>
              <w:spacing w:after="40"/>
            </w:pPr>
            <w:r>
              <w:rPr>
                <w:b w:val="0"/>
                <w:i w:val="0"/>
                <w:sz w:val="19"/>
              </w:rPr>
              <w:t>Audit plan ISMS-PLN-03 and audit report GOV-TPL-01 sent by the Internal Auditor</w:t>
            </w:r>
          </w:p>
        </w:tc>
      </w:tr>
      <w:tr>
        <w:tc>
          <w:tcPr>
            <w:tcW w:type="dxa" w:w="2436"/>
          </w:tcPr>
          <w:p>
            <w:pPr>
              <w:spacing w:after="40"/>
            </w:pPr>
            <w:r>
              <w:rPr>
                <w:b w:val="0"/>
                <w:i w:val="0"/>
                <w:sz w:val="19"/>
              </w:rPr>
              <w:t>Management review outcomes and decisions</w:t>
            </w:r>
          </w:p>
        </w:tc>
        <w:tc>
          <w:tcPr>
            <w:tcW w:type="dxa" w:w="2436"/>
          </w:tcPr>
          <w:p>
            <w:pPr>
              <w:spacing w:after="40"/>
            </w:pPr>
            <w:r>
              <w:rPr>
                <w:b w:val="0"/>
                <w:i w:val="0"/>
                <w:sz w:val="19"/>
              </w:rPr>
              <w:t>Within ten working days of the review</w:t>
            </w:r>
          </w:p>
        </w:tc>
        <w:tc>
          <w:tcPr>
            <w:tcW w:type="dxa" w:w="2436"/>
          </w:tcPr>
          <w:p>
            <w:pPr>
              <w:spacing w:after="40"/>
            </w:pPr>
            <w:r>
              <w:rPr>
                <w:b w:val="0"/>
                <w:i w:val="0"/>
                <w:sz w:val="19"/>
              </w:rPr>
              <w:t>Steering committee, owners of actions</w:t>
            </w:r>
          </w:p>
        </w:tc>
        <w:tc>
          <w:tcPr>
            <w:tcW w:type="dxa" w:w="2436"/>
          </w:tcPr>
          <w:p>
            <w:pPr>
              <w:spacing w:after="40"/>
            </w:pPr>
            <w:r>
              <w:rPr>
                <w:b w:val="0"/>
                <w:i w:val="0"/>
                <w:sz w:val="19"/>
              </w:rPr>
              <w:t>Minutes GOV-TPL-03 and action tracker GOV-REG-22 circulated by the Information Security Manager</w:t>
            </w:r>
          </w:p>
        </w:tc>
      </w:tr>
      <w:tr>
        <w:tc>
          <w:tcPr>
            <w:tcW w:type="dxa" w:w="2436"/>
          </w:tcPr>
          <w:p>
            <w:pPr>
              <w:spacing w:after="40"/>
            </w:pPr>
            <w:r>
              <w:rPr>
                <w:b w:val="0"/>
                <w:i w:val="0"/>
                <w:sz w:val="19"/>
              </w:rPr>
              <w:t>Phishing simulation results</w:t>
            </w:r>
          </w:p>
        </w:tc>
        <w:tc>
          <w:tcPr>
            <w:tcW w:type="dxa" w:w="2436"/>
          </w:tcPr>
          <w:p>
            <w:pPr>
              <w:spacing w:after="40"/>
            </w:pPr>
            <w:r>
              <w:rPr>
                <w:b w:val="0"/>
                <w:i w:val="0"/>
                <w:sz w:val="19"/>
              </w:rPr>
              <w:t>Within five working days of each simulation</w:t>
            </w:r>
          </w:p>
        </w:tc>
        <w:tc>
          <w:tcPr>
            <w:tcW w:type="dxa" w:w="2436"/>
          </w:tcPr>
          <w:p>
            <w:pPr>
              <w:spacing w:after="40"/>
            </w:pPr>
            <w:r>
              <w:rPr>
                <w:b w:val="0"/>
                <w:i w:val="0"/>
                <w:sz w:val="19"/>
              </w:rPr>
              <w:t>All staff (aggregate); line managers (their team)</w:t>
            </w:r>
          </w:p>
        </w:tc>
        <w:tc>
          <w:tcPr>
            <w:tcW w:type="dxa" w:w="2436"/>
          </w:tcPr>
          <w:p>
            <w:pPr>
              <w:spacing w:after="40"/>
            </w:pPr>
            <w:r>
              <w:rPr>
                <w:b w:val="0"/>
                <w:i w:val="0"/>
                <w:sz w:val="19"/>
              </w:rPr>
              <w:t>Aggregate message by the Information Security Manager; individual coaching by the line manager</w:t>
            </w:r>
          </w:p>
        </w:tc>
      </w:tr>
      <w:tr>
        <w:tc>
          <w:tcPr>
            <w:tcW w:type="dxa" w:w="2436"/>
          </w:tcPr>
          <w:p>
            <w:pPr>
              <w:spacing w:after="40"/>
            </w:pPr>
            <w:r>
              <w:rPr>
                <w:b w:val="0"/>
                <w:i w:val="0"/>
                <w:sz w:val="19"/>
              </w:rPr>
              <w:t>Continuity exercise schedule and lessons</w:t>
            </w:r>
          </w:p>
        </w:tc>
        <w:tc>
          <w:tcPr>
            <w:tcW w:type="dxa" w:w="2436"/>
          </w:tcPr>
          <w:p>
            <w:pPr>
              <w:spacing w:after="40"/>
            </w:pPr>
            <w:r>
              <w:rPr>
                <w:b w:val="0"/>
                <w:i w:val="0"/>
                <w:sz w:val="19"/>
              </w:rPr>
              <w:t>Before each exercise; lessons within ten working days after</w:t>
            </w:r>
          </w:p>
        </w:tc>
        <w:tc>
          <w:tcPr>
            <w:tcW w:type="dxa" w:w="2436"/>
          </w:tcPr>
          <w:p>
            <w:pPr>
              <w:spacing w:after="40"/>
            </w:pPr>
            <w:r>
              <w:rPr>
                <w:b w:val="0"/>
                <w:i w:val="0"/>
                <w:sz w:val="19"/>
              </w:rPr>
              <w:t>Participants, steering committee</w:t>
            </w:r>
          </w:p>
        </w:tc>
        <w:tc>
          <w:tcPr>
            <w:tcW w:type="dxa" w:w="2436"/>
          </w:tcPr>
          <w:p>
            <w:pPr>
              <w:spacing w:after="40"/>
            </w:pPr>
            <w:r>
              <w:rPr>
                <w:b w:val="0"/>
                <w:i w:val="0"/>
                <w:sz w:val="19"/>
              </w:rPr>
              <w:t>Invitation and lessons note by the Head of Operations, recorded in GOV-REG-16</w:t>
            </w:r>
          </w:p>
        </w:tc>
      </w:tr>
    </w:tbl>
    <w:p/>
    <w:p>
      <w:pPr>
        <w:pStyle w:val="Heading1"/>
      </w:pPr>
      <w:r>
        <w:t>5. External communications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What</w:t>
            </w:r>
          </w:p>
        </w:tc>
        <w:tc>
          <w:tcPr>
            <w:tcW w:type="dxa" w:w="2436"/>
            <w:shd w:val="clear" w:color="auto" w:fill="EEF3F8"/>
          </w:tcPr>
          <w:p>
            <w:pPr>
              <w:spacing w:after="40"/>
            </w:pPr>
            <w:r>
              <w:rPr>
                <w:b/>
                <w:i w:val="0"/>
                <w:sz w:val="19"/>
              </w:rPr>
              <w:t>When</w:t>
            </w:r>
          </w:p>
        </w:tc>
        <w:tc>
          <w:tcPr>
            <w:tcW w:type="dxa" w:w="2436"/>
            <w:shd w:val="clear" w:color="auto" w:fill="EEF3F8"/>
          </w:tcPr>
          <w:p>
            <w:pPr>
              <w:spacing w:after="40"/>
            </w:pPr>
            <w:r>
              <w:rPr>
                <w:b/>
                <w:i w:val="0"/>
                <w:sz w:val="19"/>
              </w:rPr>
              <w:t>With whom</w:t>
            </w:r>
          </w:p>
        </w:tc>
        <w:tc>
          <w:tcPr>
            <w:tcW w:type="dxa" w:w="2436"/>
            <w:shd w:val="clear" w:color="auto" w:fill="EEF3F8"/>
          </w:tcPr>
          <w:p>
            <w:pPr>
              <w:spacing w:after="40"/>
            </w:pPr>
            <w:r>
              <w:rPr>
                <w:b/>
                <w:i w:val="0"/>
                <w:sz w:val="19"/>
              </w:rPr>
              <w:t>How and by whom</w:t>
            </w:r>
          </w:p>
        </w:tc>
      </w:tr>
      <w:tr>
        <w:tc>
          <w:tcPr>
            <w:tcW w:type="dxa" w:w="2436"/>
          </w:tcPr>
          <w:p>
            <w:pPr>
              <w:spacing w:after="40"/>
            </w:pPr>
            <w:r>
              <w:rPr>
                <w:b w:val="0"/>
                <w:i w:val="0"/>
                <w:sz w:val="19"/>
              </w:rPr>
              <w:t>Security questionnaire and due diligence responses</w:t>
            </w:r>
          </w:p>
        </w:tc>
        <w:tc>
          <w:tcPr>
            <w:tcW w:type="dxa" w:w="2436"/>
          </w:tcPr>
          <w:p>
            <w:pPr>
              <w:spacing w:after="40"/>
            </w:pPr>
            <w:r>
              <w:rPr>
                <w:b w:val="0"/>
                <w:i w:val="0"/>
                <w:sz w:val="19"/>
              </w:rPr>
              <w:t>Within the customer's deadline, normally ten working days</w:t>
            </w:r>
          </w:p>
        </w:tc>
        <w:tc>
          <w:tcPr>
            <w:tcW w:type="dxa" w:w="2436"/>
          </w:tcPr>
          <w:p>
            <w:pPr>
              <w:spacing w:after="40"/>
            </w:pPr>
            <w:r>
              <w:rPr>
                <w:b w:val="0"/>
                <w:i w:val="0"/>
                <w:sz w:val="19"/>
              </w:rPr>
              <w:t>Customers and prospects</w:t>
            </w:r>
          </w:p>
        </w:tc>
        <w:tc>
          <w:tcPr>
            <w:tcW w:type="dxa" w:w="2436"/>
          </w:tcPr>
          <w:p>
            <w:pPr>
              <w:spacing w:after="40"/>
            </w:pPr>
            <w:r>
              <w:rPr>
                <w:b w:val="0"/>
                <w:i w:val="0"/>
                <w:sz w:val="19"/>
              </w:rPr>
              <w:t>Written response approved by the Information Security Manager, sent by the account owner, copy filed</w:t>
            </w:r>
          </w:p>
        </w:tc>
      </w:tr>
      <w:tr>
        <w:tc>
          <w:tcPr>
            <w:tcW w:type="dxa" w:w="2436"/>
          </w:tcPr>
          <w:p>
            <w:pPr>
              <w:spacing w:after="40"/>
            </w:pPr>
            <w:r>
              <w:rPr>
                <w:b w:val="0"/>
                <w:i w:val="0"/>
                <w:sz w:val="19"/>
              </w:rPr>
              <w:t>Certificate status and scope</w:t>
            </w:r>
          </w:p>
        </w:tc>
        <w:tc>
          <w:tcPr>
            <w:tcW w:type="dxa" w:w="2436"/>
          </w:tcPr>
          <w:p>
            <w:pPr>
              <w:spacing w:after="40"/>
            </w:pPr>
            <w:r>
              <w:rPr>
                <w:b w:val="0"/>
                <w:i w:val="0"/>
                <w:sz w:val="19"/>
              </w:rPr>
              <w:t>On request, and within ten working days of a change</w:t>
            </w:r>
          </w:p>
        </w:tc>
        <w:tc>
          <w:tcPr>
            <w:tcW w:type="dxa" w:w="2436"/>
          </w:tcPr>
          <w:p>
            <w:pPr>
              <w:spacing w:after="40"/>
            </w:pPr>
            <w:r>
              <w:rPr>
                <w:b w:val="0"/>
                <w:i w:val="0"/>
                <w:sz w:val="19"/>
              </w:rPr>
              <w:t>Customers</w:t>
            </w:r>
          </w:p>
        </w:tc>
        <w:tc>
          <w:tcPr>
            <w:tcW w:type="dxa" w:w="2436"/>
          </w:tcPr>
          <w:p>
            <w:pPr>
              <w:spacing w:after="40"/>
            </w:pPr>
            <w:r>
              <w:rPr>
                <w:b w:val="0"/>
                <w:i w:val="0"/>
                <w:sz w:val="19"/>
              </w:rPr>
              <w:t>Copy of the certificate and the scope wording from ISMS-STM-01, sent by the account owner</w:t>
            </w:r>
          </w:p>
        </w:tc>
      </w:tr>
      <w:tr>
        <w:tc>
          <w:tcPr>
            <w:tcW w:type="dxa" w:w="2436"/>
          </w:tcPr>
          <w:p>
            <w:pPr>
              <w:spacing w:after="40"/>
            </w:pPr>
            <w:r>
              <w:rPr>
                <w:b w:val="0"/>
                <w:i w:val="0"/>
                <w:sz w:val="19"/>
              </w:rPr>
              <w:t>Changes to sub-processors or hosting locations</w:t>
            </w:r>
          </w:p>
        </w:tc>
        <w:tc>
          <w:tcPr>
            <w:tcW w:type="dxa" w:w="2436"/>
          </w:tcPr>
          <w:p>
            <w:pPr>
              <w:spacing w:after="40"/>
            </w:pPr>
            <w:r>
              <w:rPr>
                <w:b w:val="0"/>
                <w:i w:val="0"/>
                <w:sz w:val="19"/>
              </w:rPr>
              <w:t>Before the change, with the notice period in the contract</w:t>
            </w:r>
          </w:p>
        </w:tc>
        <w:tc>
          <w:tcPr>
            <w:tcW w:type="dxa" w:w="2436"/>
          </w:tcPr>
          <w:p>
            <w:pPr>
              <w:spacing w:after="40"/>
            </w:pPr>
            <w:r>
              <w:rPr>
                <w:b w:val="0"/>
                <w:i w:val="0"/>
                <w:sz w:val="19"/>
              </w:rPr>
              <w:t>Customers who are controllers</w:t>
            </w:r>
          </w:p>
        </w:tc>
        <w:tc>
          <w:tcPr>
            <w:tcW w:type="dxa" w:w="2436"/>
          </w:tcPr>
          <w:p>
            <w:pPr>
              <w:spacing w:after="40"/>
            </w:pPr>
            <w:r>
              <w:rPr>
                <w:b w:val="0"/>
                <w:i w:val="0"/>
                <w:sz w:val="19"/>
              </w:rPr>
              <w:t>Written notice by the Privacy Officer under PIMS-PRO-05</w:t>
            </w:r>
          </w:p>
        </w:tc>
      </w:tr>
      <w:tr>
        <w:tc>
          <w:tcPr>
            <w:tcW w:type="dxa" w:w="2436"/>
          </w:tcPr>
          <w:p>
            <w:pPr>
              <w:spacing w:after="40"/>
            </w:pPr>
            <w:r>
              <w:rPr>
                <w:b w:val="0"/>
                <w:i w:val="0"/>
                <w:sz w:val="19"/>
              </w:rPr>
              <w:t>Security requirements and policy changes affecting suppliers</w:t>
            </w:r>
          </w:p>
        </w:tc>
        <w:tc>
          <w:tcPr>
            <w:tcW w:type="dxa" w:w="2436"/>
          </w:tcPr>
          <w:p>
            <w:pPr>
              <w:spacing w:after="40"/>
            </w:pPr>
            <w:r>
              <w:rPr>
                <w:b w:val="0"/>
                <w:i w:val="0"/>
                <w:sz w:val="19"/>
              </w:rPr>
              <w:t>At onboarding and within thirty days of a change</w:t>
            </w:r>
          </w:p>
        </w:tc>
        <w:tc>
          <w:tcPr>
            <w:tcW w:type="dxa" w:w="2436"/>
          </w:tcPr>
          <w:p>
            <w:pPr>
              <w:spacing w:after="40"/>
            </w:pPr>
            <w:r>
              <w:rPr>
                <w:b w:val="0"/>
                <w:i w:val="0"/>
                <w:sz w:val="19"/>
              </w:rPr>
              <w:t>Suppliers in GOV-REG-07</w:t>
            </w:r>
          </w:p>
        </w:tc>
        <w:tc>
          <w:tcPr>
            <w:tcW w:type="dxa" w:w="2436"/>
          </w:tcPr>
          <w:p>
            <w:pPr>
              <w:spacing w:after="40"/>
            </w:pPr>
            <w:r>
              <w:rPr>
                <w:b w:val="0"/>
                <w:i w:val="0"/>
                <w:sz w:val="19"/>
              </w:rPr>
              <w:t>Contract schedule or written notice by the Head of Operations under GOV-PRO-06</w:t>
            </w:r>
          </w:p>
        </w:tc>
      </w:tr>
      <w:tr>
        <w:tc>
          <w:tcPr>
            <w:tcW w:type="dxa" w:w="2436"/>
          </w:tcPr>
          <w:p>
            <w:pPr>
              <w:spacing w:after="40"/>
            </w:pPr>
            <w:r>
              <w:rPr>
                <w:b w:val="0"/>
                <w:i w:val="0"/>
                <w:sz w:val="19"/>
              </w:rPr>
              <w:t>Incidents at a supplier or affecting a supplier</w:t>
            </w:r>
          </w:p>
        </w:tc>
        <w:tc>
          <w:tcPr>
            <w:tcW w:type="dxa" w:w="2436"/>
          </w:tcPr>
          <w:p>
            <w:pPr>
              <w:spacing w:after="40"/>
            </w:pPr>
            <w:r>
              <w:rPr>
                <w:b w:val="0"/>
                <w:i w:val="0"/>
                <w:sz w:val="19"/>
              </w:rPr>
              <w:t>As set in the contract, normally within 24 hours of confirmation</w:t>
            </w:r>
          </w:p>
        </w:tc>
        <w:tc>
          <w:tcPr>
            <w:tcW w:type="dxa" w:w="2436"/>
          </w:tcPr>
          <w:p>
            <w:pPr>
              <w:spacing w:after="40"/>
            </w:pPr>
            <w:r>
              <w:rPr>
                <w:b w:val="0"/>
                <w:i w:val="0"/>
                <w:sz w:val="19"/>
              </w:rPr>
              <w:t>The supplier's named contact</w:t>
            </w:r>
          </w:p>
        </w:tc>
        <w:tc>
          <w:tcPr>
            <w:tcW w:type="dxa" w:w="2436"/>
          </w:tcPr>
          <w:p>
            <w:pPr>
              <w:spacing w:after="40"/>
            </w:pPr>
            <w:r>
              <w:rPr>
                <w:b w:val="0"/>
                <w:i w:val="0"/>
                <w:sz w:val="19"/>
              </w:rPr>
              <w:t>By the Incident Lead under GOV-PRO-07</w:t>
            </w:r>
          </w:p>
        </w:tc>
      </w:tr>
      <w:tr>
        <w:tc>
          <w:tcPr>
            <w:tcW w:type="dxa" w:w="2436"/>
          </w:tcPr>
          <w:p>
            <w:pPr>
              <w:spacing w:after="40"/>
            </w:pPr>
            <w:r>
              <w:rPr>
                <w:b w:val="0"/>
                <w:i w:val="0"/>
                <w:sz w:val="19"/>
              </w:rPr>
              <w:t>Breach notifications</w:t>
            </w:r>
          </w:p>
        </w:tc>
        <w:tc>
          <w:tcPr>
            <w:tcW w:type="dxa" w:w="2436"/>
          </w:tcPr>
          <w:p>
            <w:pPr>
              <w:spacing w:after="40"/>
            </w:pPr>
            <w:r>
              <w:rPr>
                <w:b w:val="0"/>
                <w:i w:val="0"/>
                <w:sz w:val="19"/>
              </w:rPr>
              <w:t>Within the legal deadline from awareness</w:t>
            </w:r>
          </w:p>
        </w:tc>
        <w:tc>
          <w:tcPr>
            <w:tcW w:type="dxa" w:w="2436"/>
          </w:tcPr>
          <w:p>
            <w:pPr>
              <w:spacing w:after="40"/>
            </w:pPr>
            <w:r>
              <w:rPr>
                <w:b w:val="0"/>
                <w:i w:val="0"/>
                <w:sz w:val="19"/>
              </w:rPr>
              <w:t>Supervisory authority; affected individuals where required</w:t>
            </w:r>
          </w:p>
        </w:tc>
        <w:tc>
          <w:tcPr>
            <w:tcW w:type="dxa" w:w="2436"/>
          </w:tcPr>
          <w:p>
            <w:pPr>
              <w:spacing w:after="40"/>
            </w:pPr>
            <w:r>
              <w:rPr>
                <w:b w:val="0"/>
                <w:i w:val="0"/>
                <w:sz w:val="19"/>
              </w:rPr>
              <w:t>By the Privacy Officer under PIMS-PRO-04 using GDPR-TPL-10</w:t>
            </w:r>
          </w:p>
        </w:tc>
      </w:tr>
      <w:tr>
        <w:tc>
          <w:tcPr>
            <w:tcW w:type="dxa" w:w="2436"/>
          </w:tcPr>
          <w:p>
            <w:pPr>
              <w:spacing w:after="40"/>
            </w:pPr>
            <w:r>
              <w:rPr>
                <w:b w:val="0"/>
                <w:i w:val="0"/>
                <w:sz w:val="19"/>
              </w:rPr>
              <w:t>Changes to scope, ownership, locations or a major incident</w:t>
            </w:r>
          </w:p>
        </w:tc>
        <w:tc>
          <w:tcPr>
            <w:tcW w:type="dxa" w:w="2436"/>
          </w:tcPr>
          <w:p>
            <w:pPr>
              <w:spacing w:after="40"/>
            </w:pPr>
            <w:r>
              <w:rPr>
                <w:b w:val="0"/>
                <w:i w:val="0"/>
                <w:sz w:val="19"/>
              </w:rPr>
              <w:t>Within thirty days, or as the certification agreement requires</w:t>
            </w:r>
          </w:p>
        </w:tc>
        <w:tc>
          <w:tcPr>
            <w:tcW w:type="dxa" w:w="2436"/>
          </w:tcPr>
          <w:p>
            <w:pPr>
              <w:spacing w:after="40"/>
            </w:pPr>
            <w:r>
              <w:rPr>
                <w:b w:val="0"/>
                <w:i w:val="0"/>
                <w:sz w:val="19"/>
              </w:rPr>
              <w:t>Certification body</w:t>
            </w:r>
          </w:p>
        </w:tc>
        <w:tc>
          <w:tcPr>
            <w:tcW w:type="dxa" w:w="2436"/>
          </w:tcPr>
          <w:p>
            <w:pPr>
              <w:spacing w:after="40"/>
            </w:pPr>
            <w:r>
              <w:rPr>
                <w:b w:val="0"/>
                <w:i w:val="0"/>
                <w:sz w:val="19"/>
              </w:rPr>
              <w:t>Written notice by the Information Security Manager</w:t>
            </w:r>
          </w:p>
        </w:tc>
      </w:tr>
      <w:tr>
        <w:tc>
          <w:tcPr>
            <w:tcW w:type="dxa" w:w="2436"/>
          </w:tcPr>
          <w:p>
            <w:pPr>
              <w:spacing w:after="40"/>
            </w:pPr>
            <w:r>
              <w:rPr>
                <w:b w:val="0"/>
                <w:i w:val="0"/>
                <w:sz w:val="19"/>
              </w:rPr>
              <w:t>Vulnerability reports received from outside</w:t>
            </w:r>
          </w:p>
        </w:tc>
        <w:tc>
          <w:tcPr>
            <w:tcW w:type="dxa" w:w="2436"/>
          </w:tcPr>
          <w:p>
            <w:pPr>
              <w:spacing w:after="40"/>
            </w:pPr>
            <w:r>
              <w:rPr>
                <w:b w:val="0"/>
                <w:i w:val="0"/>
                <w:sz w:val="19"/>
              </w:rPr>
              <w:t>Acknowledgement within five working days; outcome when fixed</w:t>
            </w:r>
          </w:p>
        </w:tc>
        <w:tc>
          <w:tcPr>
            <w:tcW w:type="dxa" w:w="2436"/>
          </w:tcPr>
          <w:p>
            <w:pPr>
              <w:spacing w:after="40"/>
            </w:pPr>
            <w:r>
              <w:rPr>
                <w:b w:val="0"/>
                <w:i w:val="0"/>
                <w:sz w:val="19"/>
              </w:rPr>
              <w:t>The reporter</w:t>
            </w:r>
          </w:p>
        </w:tc>
        <w:tc>
          <w:tcPr>
            <w:tcW w:type="dxa" w:w="2436"/>
          </w:tcPr>
          <w:p>
            <w:pPr>
              <w:spacing w:after="40"/>
            </w:pPr>
            <w:r>
              <w:rPr>
                <w:b w:val="0"/>
                <w:i w:val="0"/>
                <w:sz w:val="19"/>
              </w:rPr>
              <w:t>By the Information Security Manager under GOV-PRO-27</w:t>
            </w:r>
          </w:p>
        </w:tc>
      </w:tr>
      <w:tr>
        <w:tc>
          <w:tcPr>
            <w:tcW w:type="dxa" w:w="2436"/>
          </w:tcPr>
          <w:p>
            <w:pPr>
              <w:spacing w:after="40"/>
            </w:pPr>
            <w:r>
              <w:rPr>
                <w:b w:val="0"/>
                <w:i w:val="0"/>
                <w:sz w:val="19"/>
              </w:rPr>
              <w:t>Privacy notice and cookie notice</w:t>
            </w:r>
          </w:p>
        </w:tc>
        <w:tc>
          <w:tcPr>
            <w:tcW w:type="dxa" w:w="2436"/>
          </w:tcPr>
          <w:p>
            <w:pPr>
              <w:spacing w:after="40"/>
            </w:pPr>
            <w:r>
              <w:rPr>
                <w:b w:val="0"/>
                <w:i w:val="0"/>
                <w:sz w:val="19"/>
              </w:rPr>
              <w:t>Published at all times; updated before a change in processing takes effect</w:t>
            </w:r>
          </w:p>
        </w:tc>
        <w:tc>
          <w:tcPr>
            <w:tcW w:type="dxa" w:w="2436"/>
          </w:tcPr>
          <w:p>
            <w:pPr>
              <w:spacing w:after="40"/>
            </w:pPr>
            <w:r>
              <w:rPr>
                <w:b w:val="0"/>
                <w:i w:val="0"/>
                <w:sz w:val="19"/>
              </w:rPr>
              <w:t>Website visitors, customers, staff, applicants</w:t>
            </w:r>
          </w:p>
        </w:tc>
        <w:tc>
          <w:tcPr>
            <w:tcW w:type="dxa" w:w="2436"/>
          </w:tcPr>
          <w:p>
            <w:pPr>
              <w:spacing w:after="40"/>
            </w:pPr>
            <w:r>
              <w:rPr>
                <w:b w:val="0"/>
                <w:i w:val="0"/>
                <w:sz w:val="19"/>
              </w:rPr>
              <w:t>Published by the Privacy Officer using GDPR-TPL-01 to GDPR-TPL-04</w:t>
            </w:r>
          </w:p>
        </w:tc>
      </w:tr>
      <w:tr>
        <w:tc>
          <w:tcPr>
            <w:tcW w:type="dxa" w:w="2436"/>
          </w:tcPr>
          <w:p>
            <w:pPr>
              <w:spacing w:after="40"/>
            </w:pPr>
            <w:r>
              <w:rPr>
                <w:b w:val="0"/>
                <w:i w:val="0"/>
                <w:sz w:val="19"/>
              </w:rPr>
              <w:t>Contact with authorities and specialist groups</w:t>
            </w:r>
          </w:p>
        </w:tc>
        <w:tc>
          <w:tcPr>
            <w:tcW w:type="dxa" w:w="2436"/>
          </w:tcPr>
          <w:p>
            <w:pPr>
              <w:spacing w:after="40"/>
            </w:pPr>
            <w:r>
              <w:rPr>
                <w:b w:val="0"/>
                <w:i w:val="0"/>
                <w:sz w:val="19"/>
              </w:rPr>
              <w:t>As required, and at least one check of contact details each year</w:t>
            </w:r>
          </w:p>
        </w:tc>
        <w:tc>
          <w:tcPr>
            <w:tcW w:type="dxa" w:w="2436"/>
          </w:tcPr>
          <w:p>
            <w:pPr>
              <w:spacing w:after="40"/>
            </w:pPr>
            <w:r>
              <w:rPr>
                <w:b w:val="0"/>
                <w:i w:val="0"/>
                <w:sz w:val="19"/>
              </w:rPr>
              <w:t>Regulators, law enforcement, sector security forums</w:t>
            </w:r>
          </w:p>
        </w:tc>
        <w:tc>
          <w:tcPr>
            <w:tcW w:type="dxa" w:w="2436"/>
          </w:tcPr>
          <w:p>
            <w:pPr>
              <w:spacing w:after="40"/>
            </w:pPr>
            <w:r>
              <w:rPr>
                <w:b w:val="0"/>
                <w:i w:val="0"/>
                <w:sz w:val="19"/>
              </w:rPr>
              <w:t>By the Information Security Manager or Privacy Officer, contact list kept with GOV-PRO-25</w:t>
            </w:r>
          </w:p>
        </w:tc>
      </w:tr>
      <w:tr>
        <w:tc>
          <w:tcPr>
            <w:tcW w:type="dxa" w:w="2436"/>
          </w:tcPr>
          <w:p>
            <w:pPr>
              <w:spacing w:after="40"/>
            </w:pPr>
            <w:r>
              <w:rPr>
                <w:b w:val="0"/>
                <w:i w:val="0"/>
                <w:sz w:val="19"/>
              </w:rPr>
              <w:t>Insurer notifications</w:t>
            </w:r>
          </w:p>
        </w:tc>
        <w:tc>
          <w:tcPr>
            <w:tcW w:type="dxa" w:w="2436"/>
          </w:tcPr>
          <w:p>
            <w:pPr>
              <w:spacing w:after="40"/>
            </w:pPr>
            <w:r>
              <w:rPr>
                <w:b w:val="0"/>
                <w:i w:val="0"/>
                <w:sz w:val="19"/>
              </w:rPr>
              <w:t>Within the policy's notification period</w:t>
            </w:r>
          </w:p>
        </w:tc>
        <w:tc>
          <w:tcPr>
            <w:tcW w:type="dxa" w:w="2436"/>
          </w:tcPr>
          <w:p>
            <w:pPr>
              <w:spacing w:after="40"/>
            </w:pPr>
            <w:r>
              <w:rPr>
                <w:b w:val="0"/>
                <w:i w:val="0"/>
                <w:sz w:val="19"/>
              </w:rPr>
              <w:t>Cyber insurer</w:t>
            </w:r>
          </w:p>
        </w:tc>
        <w:tc>
          <w:tcPr>
            <w:tcW w:type="dxa" w:w="2436"/>
          </w:tcPr>
          <w:p>
            <w:pPr>
              <w:spacing w:after="40"/>
            </w:pPr>
            <w:r>
              <w:rPr>
                <w:b w:val="0"/>
                <w:i w:val="0"/>
                <w:sz w:val="19"/>
              </w:rPr>
              <w:t>By the Chief Executive Officer or delegate, with the Incident Lead</w:t>
            </w:r>
          </w:p>
        </w:tc>
      </w:tr>
    </w:tbl>
    <w:p/>
    <w:p>
      <w:pPr>
        <w:pStyle w:val="Heading1"/>
      </w:pPr>
      <w:r>
        <w:t>6. Incident and breach communications</w:t>
      </w:r>
    </w:p>
    <w:p>
      <w:r>
        <w:rPr>
          <w:b w:val="0"/>
          <w:i w:val="0"/>
        </w:rPr>
        <w:t>6.1 When an incident is declared under GOV-PRO-07, the Incident Lead owns all communications about it until closure. The tables above do not apply to incident updates; the incident procedure's roles, approval rules and templates (GOV-TPL-05, GOV-TPL-11) do.</w:t>
      </w:r>
    </w:p>
    <w:p>
      <w:r>
        <w:rPr>
          <w:b w:val="0"/>
          <w:i w:val="0"/>
        </w:rPr>
        <w:t>6.2 Any external statement about an incident, including to customers, media or on a public status page, is approved by the Chief Executive Officer. Statements describe confirmed facts, the actions taken and the next update time; they do not speculate on cause or attribution.</w:t>
      </w:r>
    </w:p>
    <w:p>
      <w:r>
        <w:rPr>
          <w:b w:val="0"/>
          <w:i w:val="0"/>
        </w:rPr>
        <w:t>6.3 Where an incident involves personal data, the Privacy Officer runs the breach assessment and notifications under PIMS-PRO-04 in parallel, and the two leads agree a single message to any party that both must inform.</w:t>
      </w:r>
    </w:p>
    <w:p>
      <w:pPr>
        <w:pStyle w:val="Heading1"/>
      </w:pPr>
      <w:r>
        <w:t>7. Approval and records</w:t>
      </w:r>
    </w:p>
    <w:p>
      <w:r>
        <w:rPr>
          <w:b w:val="0"/>
          <w:i w:val="0"/>
        </w:rPr>
        <w:t>7.1 The steering committee approves this plan and any change to it.</w:t>
      </w:r>
    </w:p>
    <w:p>
      <w:r>
        <w:rPr>
          <w:b w:val="0"/>
          <w:i w:val="0"/>
        </w:rPr>
        <w:t>7.2 The Information Security Manager keeps a communications log for external items: date, recipient, subject, approver and file location. Internal broadcast items are evidenced by the message itself in the channel.</w:t>
      </w:r>
    </w:p>
    <w:p>
      <w:r>
        <w:rPr>
          <w:b w:val="0"/>
          <w:i w:val="0"/>
        </w:rPr>
        <w:t>7.3 Contact details for every external party in section 5 are checked once a year and after any change of counterpart, and the check is recorded in ISMS-REG-03.</w:t>
      </w:r>
    </w:p>
    <w:p>
      <w:pPr>
        <w:pStyle w:val="Heading1"/>
      </w:pPr>
      <w:r>
        <w:t>8. Review and maintenance</w:t>
      </w:r>
    </w:p>
    <w:p>
      <w:r>
        <w:rPr>
          <w:b w:val="0"/>
          <w:i w:val="0"/>
        </w:rPr>
        <w:t>The Information Security Manager reviews this plan annually, after any incident where a communication was late or sent by the wrong role, and within thirty days of a change to ISMS-REG-03 that adds or removes an external party.</w:t>
      </w:r>
    </w:p>
    <w:p>
      <w:pPr>
        <w:pStyle w:val="Heading1"/>
      </w:pPr>
      <w:r>
        <w:t>9. Related documents</w:t>
      </w:r>
    </w:p>
    <w:p>
      <w:pPr>
        <w:pStyle w:val="ListBullet"/>
      </w:pPr>
      <w:r>
        <w:rPr>
          <w:b w:val="0"/>
          <w:i w:val="0"/>
        </w:rPr>
        <w:t>ISMS-REG-03 Interested parties and requirements register</w:t>
      </w:r>
    </w:p>
    <w:p>
      <w:pPr>
        <w:pStyle w:val="ListBullet"/>
      </w:pPr>
      <w:r>
        <w:rPr>
          <w:b w:val="0"/>
          <w:i w:val="0"/>
        </w:rPr>
        <w:t>GOV-PRO-07 Information security incident management procedure</w:t>
      </w:r>
    </w:p>
    <w:p>
      <w:pPr>
        <w:pStyle w:val="ListBullet"/>
      </w:pPr>
      <w:r>
        <w:rPr>
          <w:b w:val="0"/>
          <w:i w:val="0"/>
        </w:rPr>
        <w:t>PIMS-PRO-04 Personal data breach assessment and notification procedure</w:t>
      </w:r>
    </w:p>
    <w:p>
      <w:pPr>
        <w:pStyle w:val="ListBullet"/>
      </w:pPr>
      <w:r>
        <w:rPr>
          <w:b w:val="0"/>
          <w:i w:val="0"/>
        </w:rPr>
        <w:t>GOV-PRO-08 Security and privacy awareness and training procedure</w:t>
      </w:r>
    </w:p>
    <w:p>
      <w:pPr>
        <w:pStyle w:val="ListBullet"/>
      </w:pPr>
      <w:r>
        <w:rPr>
          <w:b w:val="0"/>
          <w:i w:val="0"/>
        </w:rPr>
        <w:t>GOV-PRO-06 Supplier and third party security procedure</w:t>
      </w:r>
    </w:p>
    <w:p>
      <w:pPr>
        <w:pStyle w:val="ListBullet"/>
      </w:pPr>
      <w:r>
        <w:rPr>
          <w:b w:val="0"/>
          <w:i w:val="0"/>
        </w:rPr>
        <w:t>GOV-PRO-27 Threat intelligence and vulnerability disclosure handling procedure</w:t>
      </w:r>
    </w:p>
    <w:p>
      <w:pPr>
        <w:pStyle w:val="ListBullet"/>
      </w:pPr>
      <w:r>
        <w:rPr>
          <w:b w:val="0"/>
          <w:i w:val="0"/>
        </w:rPr>
        <w:t>GOV-PRO-25 Legal, regulatory and contractual compliance procedure</w:t>
      </w:r>
    </w:p>
    <w:p>
      <w:pPr>
        <w:pStyle w:val="ListBullet"/>
      </w:pPr>
      <w:r>
        <w:rPr>
          <w:b w:val="0"/>
          <w:i w:val="0"/>
        </w:rPr>
        <w:t>GOV-REG-23 Policy acknowledgement register</w:t>
      </w:r>
    </w:p>
    <w:p>
      <w:pPr>
        <w:pStyle w:val="ListBullet"/>
      </w:pPr>
      <w:r>
        <w:rPr>
          <w:b w:val="0"/>
          <w:i w:val="0"/>
        </w:rPr>
        <w:t>ISMS-PLN-01 Information security objectives and plan</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ISMS-PLN-02  |  Communication plan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