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PIMS-POL-03</w:t>
      </w:r>
    </w:p>
    <w:p>
      <w:r>
        <w:rPr>
          <w:b/>
          <w:color w:val="0B2D4D"/>
          <w:sz w:val="44"/>
        </w:rPr>
        <w:t>International transfer policy</w:t>
      </w:r>
    </w:p>
    <w:p>
      <w:r>
        <w:rPr>
          <w:i/>
          <w:color w:val="526478"/>
        </w:rPr>
        <w:t>The rules under which personal data may leave the region in which [Organisation] is established, the transfer mechanisms in plain words, the assessment required before a transfer relies on contractual safeguards, and the register that records every transfer.</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PIMS-POL-03</w:t>
            </w:r>
          </w:p>
        </w:tc>
      </w:tr>
      <w:tr>
        <w:tc>
          <w:tcPr>
            <w:tcW w:type="dxa" w:w="2551"/>
            <w:shd w:val="clear" w:color="auto" w:fill="EEF3F8"/>
          </w:tcPr>
          <w:p>
            <w:pPr>
              <w:spacing w:after="40"/>
            </w:pPr>
            <w:r>
              <w:rPr>
                <w:b/>
                <w:sz w:val="19"/>
              </w:rPr>
              <w:t>Title</w:t>
            </w:r>
          </w:p>
        </w:tc>
        <w:tc>
          <w:tcPr>
            <w:tcW w:type="dxa" w:w="6803"/>
          </w:tcPr>
          <w:p>
            <w:pPr>
              <w:spacing w:after="40"/>
            </w:pPr>
            <w:r>
              <w:rPr>
                <w:sz w:val="19"/>
              </w:rPr>
              <w:t>International transfer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7.5.1; ISO/IEC 27701 clause 7.5.2; ISO/IEC 27701 clause 7.5.3; ISO/IEC 27701 clause 8.5.1; ISO/IEC 27701 Annex A 7.5.1; ISO/IEC 27701 Annex A 7.5.2; ISO/IEC 27701 Annex A 7.5.3; ISO/IEC 27701 Annex B 8.5.1; ISO/IEC 27701 Annex B 8.5.2; ISO/IEC 27701 Annex B 8.5.4; ISO/IEC 27701 Annex B 8.5.5; GDPR Article 44; GDPR Article 45; GDPR Article 46; GDPR Article 47; GDPR Article 49</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keeps the protection that individuals have at home attached to their data when it goes abroad. A transfer without a recognised mechanism is unlawful regardless of how secure the recipient is, and a mechanism applied without assessing the destination can be unlawful too.</w:t>
      </w:r>
    </w:p>
    <w:p>
      <w:pPr>
        <w:pStyle w:val="Heading1"/>
      </w:pPr>
      <w:r>
        <w:t>2. Scope</w:t>
      </w:r>
    </w:p>
    <w:p>
      <w:r>
        <w:rPr>
          <w:b w:val="0"/>
          <w:i w:val="0"/>
        </w:rPr>
        <w:t>It applies to every movement of personal data from [Organisation] to a recipient in another country or international organisation, including hosting, backup and support arrangements, remote access by a supplier or employee from abroad, sub-processors of processors, group companies, clients, authorities and any onward transfer by a recipient. It applies whether [Organisation] is controller or processor. The region of establishment is [Region], as recorded in GOV-REG-04.</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Approves every transfer mechanism, runs or reviews transfer impact assessments, keeps PIMS-REG-05 and monitors changes in law.</w:t>
            </w:r>
          </w:p>
        </w:tc>
      </w:tr>
      <w:tr>
        <w:tc>
          <w:tcPr>
            <w:tcW w:type="dxa" w:w="4873"/>
          </w:tcPr>
          <w:p>
            <w:pPr>
              <w:spacing w:after="40"/>
            </w:pPr>
            <w:r>
              <w:rPr>
                <w:b w:val="0"/>
                <w:i w:val="0"/>
                <w:sz w:val="19"/>
              </w:rPr>
              <w:t>Processing Owner</w:t>
            </w:r>
          </w:p>
        </w:tc>
        <w:tc>
          <w:tcPr>
            <w:tcW w:type="dxa" w:w="4873"/>
          </w:tcPr>
          <w:p>
            <w:pPr>
              <w:spacing w:after="40"/>
            </w:pPr>
            <w:r>
              <w:rPr>
                <w:b w:val="0"/>
                <w:i w:val="0"/>
                <w:sz w:val="19"/>
              </w:rPr>
              <w:t>Identifies transfers in their processing activities and keeps the PIMS-REG-01 transfer column current.</w:t>
            </w:r>
          </w:p>
        </w:tc>
      </w:tr>
      <w:tr>
        <w:tc>
          <w:tcPr>
            <w:tcW w:type="dxa" w:w="4873"/>
          </w:tcPr>
          <w:p>
            <w:pPr>
              <w:spacing w:after="40"/>
            </w:pPr>
            <w:r>
              <w:rPr>
                <w:b w:val="0"/>
                <w:i w:val="0"/>
                <w:sz w:val="19"/>
              </w:rPr>
              <w:t>Supplier owner</w:t>
            </w:r>
          </w:p>
        </w:tc>
        <w:tc>
          <w:tcPr>
            <w:tcW w:type="dxa" w:w="4873"/>
          </w:tcPr>
          <w:p>
            <w:pPr>
              <w:spacing w:after="40"/>
            </w:pPr>
            <w:r>
              <w:rPr>
                <w:b w:val="0"/>
                <w:i w:val="0"/>
                <w:sz w:val="19"/>
              </w:rPr>
              <w:t>Establishes the processing locations of each supplier and its sub-processors before contract.</w:t>
            </w:r>
          </w:p>
        </w:tc>
      </w:tr>
      <w:tr>
        <w:tc>
          <w:tcPr>
            <w:tcW w:type="dxa" w:w="4873"/>
          </w:tcPr>
          <w:p>
            <w:pPr>
              <w:spacing w:after="40"/>
            </w:pPr>
            <w:r>
              <w:rPr>
                <w:b w:val="0"/>
                <w:i w:val="0"/>
                <w:sz w:val="19"/>
              </w:rPr>
              <w:t>Legal adviser</w:t>
            </w:r>
          </w:p>
        </w:tc>
        <w:tc>
          <w:tcPr>
            <w:tcW w:type="dxa" w:w="4873"/>
          </w:tcPr>
          <w:p>
            <w:pPr>
              <w:spacing w:after="40"/>
            </w:pPr>
            <w:r>
              <w:rPr>
                <w:b w:val="0"/>
                <w:i w:val="0"/>
                <w:sz w:val="19"/>
              </w:rPr>
              <w:t>Confirms the mechanism, the clause version and the derogation reasoning.</w:t>
            </w:r>
          </w:p>
        </w:tc>
      </w:tr>
      <w:tr>
        <w:tc>
          <w:tcPr>
            <w:tcW w:type="dxa" w:w="4873"/>
          </w:tcPr>
          <w:p>
            <w:pPr>
              <w:spacing w:after="40"/>
            </w:pPr>
            <w:r>
              <w:rPr>
                <w:b w:val="0"/>
                <w:i w:val="0"/>
                <w:sz w:val="19"/>
              </w:rPr>
              <w:t>System Owner</w:t>
            </w:r>
          </w:p>
        </w:tc>
        <w:tc>
          <w:tcPr>
            <w:tcW w:type="dxa" w:w="4873"/>
          </w:tcPr>
          <w:p>
            <w:pPr>
              <w:spacing w:after="40"/>
            </w:pPr>
            <w:r>
              <w:rPr>
                <w:b w:val="0"/>
                <w:i w:val="0"/>
                <w:sz w:val="19"/>
              </w:rPr>
              <w:t>Configures hosting regions and support access under GOV-PRO-26 and provides the evidence.</w:t>
            </w:r>
          </w:p>
        </w:tc>
      </w:tr>
    </w:tbl>
    <w:p/>
    <w:p>
      <w:pPr>
        <w:pStyle w:val="Heading1"/>
      </w:pPr>
      <w:r>
        <w:t>4. Policy statements</w:t>
      </w:r>
    </w:p>
    <w:p>
      <w:r>
        <w:rPr>
          <w:b w:val="0"/>
          <w:i w:val="0"/>
        </w:rPr>
        <w:t xml:space="preserve">4.1 </w:t>
      </w:r>
      <w:r>
        <w:rPr>
          <w:b/>
        </w:rPr>
        <w:t>What counts as a transfer.</w:t>
      </w:r>
      <w:r>
        <w:rPr>
          <w:b w:val="0"/>
          <w:i w:val="0"/>
        </w:rPr>
        <w:t xml:space="preserve"> Personal data is transferred when it is sent to, stored in, or made accessible from another country, including remote viewing by a support engineer, replication to a backup region, and processing by a sub-processor abroad. Transit through another country with no access and no storage is not a transfer. The Privacy Officer decides doubtful cases.</w:t>
      </w:r>
    </w:p>
    <w:p>
      <w:r>
        <w:rPr>
          <w:b w:val="0"/>
          <w:i w:val="0"/>
        </w:rPr>
        <w:t xml:space="preserve">4.2 </w:t>
      </w:r>
      <w:r>
        <w:rPr>
          <w:b/>
        </w:rPr>
        <w:t>No transfer without a recorded mechanism.</w:t>
      </w:r>
      <w:r>
        <w:rPr>
          <w:b w:val="0"/>
          <w:i w:val="0"/>
        </w:rPr>
        <w:t xml:space="preserve"> Personal data leaves the region of establishment only after the Privacy Officer has approved a mechanism in 4.3 and recorded the transfer in PIMS-REG-05 with the importer, the destination, the data, the mechanism and its reference. A transfer found without an entry is stopped or regularised within ten working days and recorded as a nonconformity under GOV-PRO-04.</w:t>
      </w:r>
    </w:p>
    <w:p>
      <w:r>
        <w:rPr>
          <w:b w:val="0"/>
          <w:i w:val="0"/>
        </w:rPr>
        <w:t xml:space="preserve">4.3 </w:t>
      </w:r>
      <w:r>
        <w:rPr>
          <w:b/>
        </w:rPr>
        <w:t>Mechanisms in plain words.</w:t>
      </w:r>
      <w:r>
        <w:rPr>
          <w:b w:val="0"/>
          <w:i w:val="0"/>
        </w:rPr>
        <w:t xml:space="preserve"> The Privacy Officer selects the first of these that applies: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Mechanism</w:t>
            </w:r>
          </w:p>
        </w:tc>
        <w:tc>
          <w:tcPr>
            <w:tcW w:type="dxa" w:w="3249"/>
            <w:shd w:val="clear" w:color="auto" w:fill="EEF3F8"/>
          </w:tcPr>
          <w:p>
            <w:pPr>
              <w:spacing w:after="40"/>
            </w:pPr>
            <w:r>
              <w:rPr>
                <w:b/>
                <w:i w:val="0"/>
                <w:sz w:val="19"/>
              </w:rPr>
              <w:t>What it means</w:t>
            </w:r>
          </w:p>
        </w:tc>
        <w:tc>
          <w:tcPr>
            <w:tcW w:type="dxa" w:w="3249"/>
            <w:shd w:val="clear" w:color="auto" w:fill="EEF3F8"/>
          </w:tcPr>
          <w:p>
            <w:pPr>
              <w:spacing w:after="40"/>
            </w:pPr>
            <w:r>
              <w:rPr>
                <w:b/>
                <w:i w:val="0"/>
                <w:sz w:val="19"/>
              </w:rPr>
              <w:t>When [Organisation] uses it</w:t>
            </w:r>
          </w:p>
        </w:tc>
      </w:tr>
      <w:tr>
        <w:tc>
          <w:tcPr>
            <w:tcW w:type="dxa" w:w="3249"/>
          </w:tcPr>
          <w:p>
            <w:pPr>
              <w:spacing w:after="40"/>
            </w:pPr>
            <w:r>
              <w:rPr>
                <w:b w:val="0"/>
                <w:i w:val="0"/>
                <w:sz w:val="19"/>
              </w:rPr>
              <w:t>Adequacy</w:t>
            </w:r>
          </w:p>
        </w:tc>
        <w:tc>
          <w:tcPr>
            <w:tcW w:type="dxa" w:w="3249"/>
          </w:tcPr>
          <w:p>
            <w:pPr>
              <w:spacing w:after="40"/>
            </w:pPr>
            <w:r>
              <w:rPr>
                <w:b w:val="0"/>
                <w:i w:val="0"/>
                <w:sz w:val="19"/>
              </w:rPr>
              <w:t>The relevant authority has formally recognised the destination as giving protection equivalent to home law, so the data may flow as if it stayed in the region</w:t>
            </w:r>
          </w:p>
        </w:tc>
        <w:tc>
          <w:tcPr>
            <w:tcW w:type="dxa" w:w="3249"/>
          </w:tcPr>
          <w:p>
            <w:pPr>
              <w:spacing w:after="40"/>
            </w:pPr>
            <w:r>
              <w:rPr>
                <w:b w:val="0"/>
                <w:i w:val="0"/>
                <w:sz w:val="19"/>
              </w:rPr>
              <w:t>Any destination on the current adequacy list recorded in GOV-REG-04; the entry is reviewed if the recognition is withdrawn</w:t>
            </w:r>
          </w:p>
        </w:tc>
      </w:tr>
      <w:tr>
        <w:tc>
          <w:tcPr>
            <w:tcW w:type="dxa" w:w="3249"/>
          </w:tcPr>
          <w:p>
            <w:pPr>
              <w:spacing w:after="40"/>
            </w:pPr>
            <w:r>
              <w:rPr>
                <w:b w:val="0"/>
                <w:i w:val="0"/>
                <w:sz w:val="19"/>
              </w:rPr>
              <w:t>Standard contractual clauses</w:t>
            </w:r>
          </w:p>
        </w:tc>
        <w:tc>
          <w:tcPr>
            <w:tcW w:type="dxa" w:w="3249"/>
          </w:tcPr>
          <w:p>
            <w:pPr>
              <w:spacing w:after="40"/>
            </w:pPr>
            <w:r>
              <w:rPr>
                <w:b w:val="0"/>
                <w:i w:val="0"/>
                <w:sz w:val="19"/>
              </w:rPr>
              <w:t>Contract wording approved by the authority that binds the importer to protections; the right module is chosen for the roles of the parties and the wording is not altered except to add protections</w:t>
            </w:r>
          </w:p>
        </w:tc>
        <w:tc>
          <w:tcPr>
            <w:tcW w:type="dxa" w:w="3249"/>
          </w:tcPr>
          <w:p>
            <w:pPr>
              <w:spacing w:after="40"/>
            </w:pPr>
            <w:r>
              <w:rPr>
                <w:b w:val="0"/>
                <w:i w:val="0"/>
                <w:sz w:val="19"/>
              </w:rPr>
              <w:t>The usual mechanism for suppliers, sub-processors and clients outside adequate destinations; always with a transfer impact assessment</w:t>
            </w:r>
          </w:p>
        </w:tc>
      </w:tr>
      <w:tr>
        <w:tc>
          <w:tcPr>
            <w:tcW w:type="dxa" w:w="3249"/>
          </w:tcPr>
          <w:p>
            <w:pPr>
              <w:spacing w:after="40"/>
            </w:pPr>
            <w:r>
              <w:rPr>
                <w:b w:val="0"/>
                <w:i w:val="0"/>
                <w:sz w:val="19"/>
              </w:rPr>
              <w:t>Binding corporate rules</w:t>
            </w:r>
          </w:p>
        </w:tc>
        <w:tc>
          <w:tcPr>
            <w:tcW w:type="dxa" w:w="3249"/>
          </w:tcPr>
          <w:p>
            <w:pPr>
              <w:spacing w:after="40"/>
            </w:pPr>
            <w:r>
              <w:rPr>
                <w:b w:val="0"/>
                <w:i w:val="0"/>
                <w:sz w:val="19"/>
              </w:rPr>
              <w:t>Group-wide rules approved by an authority that bind every group company to the same protections</w:t>
            </w:r>
          </w:p>
        </w:tc>
        <w:tc>
          <w:tcPr>
            <w:tcW w:type="dxa" w:w="3249"/>
          </w:tcPr>
          <w:p>
            <w:pPr>
              <w:spacing w:after="40"/>
            </w:pPr>
            <w:r>
              <w:rPr>
                <w:b w:val="0"/>
                <w:i w:val="0"/>
                <w:sz w:val="19"/>
              </w:rPr>
              <w:t>Transfers between group companies where such rules have been approved</w:t>
            </w:r>
          </w:p>
        </w:tc>
      </w:tr>
      <w:tr>
        <w:tc>
          <w:tcPr>
            <w:tcW w:type="dxa" w:w="3249"/>
          </w:tcPr>
          <w:p>
            <w:pPr>
              <w:spacing w:after="40"/>
            </w:pPr>
            <w:r>
              <w:rPr>
                <w:b w:val="0"/>
                <w:i w:val="0"/>
                <w:sz w:val="19"/>
              </w:rPr>
              <w:t>Approved codes or certifications</w:t>
            </w:r>
          </w:p>
        </w:tc>
        <w:tc>
          <w:tcPr>
            <w:tcW w:type="dxa" w:w="3249"/>
          </w:tcPr>
          <w:p>
            <w:pPr>
              <w:spacing w:after="40"/>
            </w:pPr>
            <w:r>
              <w:rPr>
                <w:b w:val="0"/>
                <w:i w:val="0"/>
                <w:sz w:val="19"/>
              </w:rPr>
              <w:t>A code of conduct or certification approved by an authority, with binding commitments by the importer</w:t>
            </w:r>
          </w:p>
        </w:tc>
        <w:tc>
          <w:tcPr>
            <w:tcW w:type="dxa" w:w="3249"/>
          </w:tcPr>
          <w:p>
            <w:pPr>
              <w:spacing w:after="40"/>
            </w:pPr>
            <w:r>
              <w:rPr>
                <w:b w:val="0"/>
                <w:i w:val="0"/>
                <w:sz w:val="19"/>
              </w:rPr>
              <w:t>Where the importer holds one and the Privacy Officer has verified it</w:t>
            </w:r>
          </w:p>
        </w:tc>
      </w:tr>
      <w:tr>
        <w:tc>
          <w:tcPr>
            <w:tcW w:type="dxa" w:w="3249"/>
          </w:tcPr>
          <w:p>
            <w:pPr>
              <w:spacing w:after="40"/>
            </w:pPr>
            <w:r>
              <w:rPr>
                <w:b w:val="0"/>
                <w:i w:val="0"/>
                <w:sz w:val="19"/>
              </w:rPr>
              <w:t>Derogations</w:t>
            </w:r>
          </w:p>
        </w:tc>
        <w:tc>
          <w:tcPr>
            <w:tcW w:type="dxa" w:w="3249"/>
          </w:tcPr>
          <w:p>
            <w:pPr>
              <w:spacing w:after="40"/>
            </w:pPr>
            <w:r>
              <w:rPr>
                <w:b w:val="0"/>
                <w:i w:val="0"/>
                <w:sz w:val="19"/>
              </w:rPr>
              <w:t>Narrow exceptions for occasional transfers: the individual's explicit informed consent, a contract with or in the interest of the individual, important public interest, legal claims, or the individual's vital interests</w:t>
            </w:r>
          </w:p>
        </w:tc>
        <w:tc>
          <w:tcPr>
            <w:tcW w:type="dxa" w:w="3249"/>
          </w:tcPr>
          <w:p>
            <w:pPr>
              <w:spacing w:after="40"/>
            </w:pPr>
            <w:r>
              <w:rPr>
                <w:b w:val="0"/>
                <w:i w:val="0"/>
                <w:sz w:val="19"/>
              </w:rPr>
              <w:t>Last resort, for a specific non-repetitive transfer, never for routine processing, and only with the legal adviser's written confirmation</w:t>
            </w:r>
          </w:p>
        </w:tc>
      </w:tr>
    </w:tbl>
    <w:p/>
    <w:p>
      <w:r>
        <w:rPr>
          <w:b w:val="0"/>
          <w:i w:val="0"/>
        </w:rPr>
        <w:t xml:space="preserve">4.4 </w:t>
      </w:r>
      <w:r>
        <w:rPr>
          <w:b/>
        </w:rPr>
        <w:t>Transfer impact assessment.</w:t>
      </w:r>
      <w:r>
        <w:rPr>
          <w:b w:val="0"/>
          <w:i w:val="0"/>
        </w:rPr>
        <w:t xml:space="preserve"> Before a transfer relies on standard contractual clauses, binding corporate rules or a code or certification, the Privacy Officer completes GDPR-TPL-08: the data and the individuals; the importer and its role; the law and practice of the destination, including access by public authorities and the remedies available to individuals; the importer's own experience of such access; and the supplementary measures that close any gap, such as encryption with keys held only in the region of establishment, pseudonymisation before export, split processing, or contractual commitments to challenge and notify access requests. The assessment is approved before the first transfer, referenced in PIMS-REG-05, and repeated every [Number] months and whenever the destination's law, the importer or the data changes.</w:t>
      </w:r>
    </w:p>
    <w:p>
      <w:r>
        <w:rPr>
          <w:b w:val="0"/>
          <w:i w:val="0"/>
        </w:rPr>
        <w:t xml:space="preserve">4.5 </w:t>
      </w:r>
      <w:r>
        <w:rPr>
          <w:b/>
        </w:rPr>
        <w:t>Supplementary measures.</w:t>
      </w:r>
      <w:r>
        <w:rPr>
          <w:b w:val="0"/>
          <w:i w:val="0"/>
        </w:rPr>
        <w:t xml:space="preserve"> Where the assessment finds that the destination's law undermines the clauses and no supplementary measure closes the gap, the transfer does not take place. Measures are implemented and evidenced before the transfer starts, not promised.</w:t>
      </w:r>
    </w:p>
    <w:p>
      <w:r>
        <w:rPr>
          <w:b w:val="0"/>
          <w:i w:val="0"/>
        </w:rPr>
        <w:t xml:space="preserve">4.6 </w:t>
      </w:r>
      <w:r>
        <w:rPr>
          <w:b/>
        </w:rPr>
        <w:t>Suppliers and sub-processors.</w:t>
      </w:r>
      <w:r>
        <w:rPr>
          <w:b w:val="0"/>
          <w:i w:val="0"/>
        </w:rPr>
        <w:t xml:space="preserve"> The supplier owner establishes under GOV-PRO-06, before contract, every country in which the supplier and its sub-processors store, process, back up or access the data, records them in PIMS-REG-06 and GOV-REG-07, and obtains notice of any change. Hosting regions are chosen under GOV-PRO-26 to avoid transfers where a regional option exists at reasonable cost.</w:t>
      </w:r>
    </w:p>
    <w:p>
      <w:r>
        <w:rPr>
          <w:b w:val="0"/>
          <w:i w:val="0"/>
        </w:rPr>
        <w:t xml:space="preserve">4.7 </w:t>
      </w:r>
      <w:r>
        <w:rPr>
          <w:b/>
        </w:rPr>
        <w:t>Onward transfers.</w:t>
      </w:r>
      <w:r>
        <w:rPr>
          <w:b w:val="0"/>
          <w:i w:val="0"/>
        </w:rPr>
        <w:t xml:space="preserve"> An importer may pass personal data to another country only under a mechanism that gives equivalent protection and that is recorded in the contract. Sub-processor chains are followed to the last link.</w:t>
      </w:r>
    </w:p>
    <w:p>
      <w:r>
        <w:rPr>
          <w:b w:val="0"/>
          <w:i w:val="0"/>
        </w:rPr>
        <w:t xml:space="preserve">4.8 </w:t>
      </w:r>
      <w:r>
        <w:rPr>
          <w:b/>
        </w:rPr>
        <w:t>Transfers where [Organisation] is a processor.</w:t>
      </w:r>
      <w:r>
        <w:rPr>
          <w:b w:val="0"/>
          <w:i w:val="0"/>
        </w:rPr>
        <w:t xml:space="preserve"> [Organisation] transfers a client's personal data only on the client's documented instruction, under the mechanism the client has approved, and notifies the client of every country involved and every change. A request from a client to transfer without a lawful mechanism is declined and recorded.</w:t>
      </w:r>
    </w:p>
    <w:p>
      <w:r>
        <w:rPr>
          <w:b w:val="0"/>
          <w:i w:val="0"/>
        </w:rPr>
        <w:t xml:space="preserve">4.9 </w:t>
      </w:r>
      <w:r>
        <w:rPr>
          <w:b/>
        </w:rPr>
        <w:t>Working from abroad.</w:t>
      </w:r>
      <w:r>
        <w:rPr>
          <w:b w:val="0"/>
          <w:i w:val="0"/>
        </w:rPr>
        <w:t xml:space="preserve"> An employee or contractor accessing personal data from outside the region of establishment is a transfer; approval under GOV-POL-05 includes the Privacy Officer's confirmation of the mechanism and the device and network controls that apply.</w:t>
      </w:r>
    </w:p>
    <w:p>
      <w:r>
        <w:rPr>
          <w:b w:val="0"/>
          <w:i w:val="0"/>
        </w:rPr>
        <w:t xml:space="preserve">4.10 </w:t>
      </w:r>
      <w:r>
        <w:rPr>
          <w:b/>
        </w:rPr>
        <w:t>Requests from foreign authorities.</w:t>
      </w:r>
      <w:r>
        <w:rPr>
          <w:b w:val="0"/>
          <w:i w:val="0"/>
        </w:rPr>
        <w:t xml:space="preserve"> A legally binding request from a public authority outside the region for personal data is handled under GOV-PRO-25 by the Privacy Officer and the legal adviser: its validity is checked, the minimum data is disclosed, the controller is told where [Organisation] is a processor and the law allows, and individuals are told where the law allows. Each request and response is recorded in PIMS-REG-05 as a disclosure.</w:t>
      </w:r>
    </w:p>
    <w:p>
      <w:r>
        <w:rPr>
          <w:b w:val="0"/>
          <w:i w:val="0"/>
        </w:rPr>
        <w:t xml:space="preserve">4.11 </w:t>
      </w:r>
      <w:r>
        <w:rPr>
          <w:b/>
        </w:rPr>
        <w:t>Individuals informed.</w:t>
      </w:r>
      <w:r>
        <w:rPr>
          <w:b w:val="0"/>
          <w:i w:val="0"/>
        </w:rPr>
        <w:t xml:space="preserve"> Every notice under PIMS-PRO-05 states that data is transferred, where, under which mechanism, and how the individual can see the safeguards.</w:t>
      </w:r>
    </w:p>
    <w:p>
      <w:r>
        <w:rPr>
          <w:b w:val="0"/>
          <w:i w:val="0"/>
        </w:rPr>
        <w:t xml:space="preserve">4.12 </w:t>
      </w:r>
      <w:r>
        <w:rPr>
          <w:b/>
        </w:rPr>
        <w:t>Records.</w:t>
      </w:r>
      <w:r>
        <w:rPr>
          <w:b w:val="0"/>
          <w:i w:val="0"/>
        </w:rPr>
        <w:t xml:space="preserve"> PIMS-REG-05 records every transfer and every disclosure to a foreign authority; PIMS-REG-01 and GDPR-REG-02 cross-reference it. Signed clauses, assessments and approvals are kept for the life of the transfer plus the period in PIMS-REG-07.</w:t>
      </w:r>
    </w:p>
    <w:p>
      <w:r>
        <w:rPr>
          <w:b w:val="0"/>
          <w:i w:val="0"/>
        </w:rPr>
        <w:t xml:space="preserve">4.13 </w:t>
      </w:r>
      <w:r>
        <w:rPr>
          <w:b/>
        </w:rPr>
        <w:t>Change in law.</w:t>
      </w:r>
      <w:r>
        <w:rPr>
          <w:b w:val="0"/>
          <w:i w:val="0"/>
        </w:rPr>
        <w:t xml:space="preserve"> When an adequacy recognition is withdrawn, a clause set is replaced, or a court decision changes the assessment of a destination, the Privacy Officer reviews every affected PIMS-REG-05 entry within thirty days and reports to the next management review.</w:t>
      </w:r>
    </w:p>
    <w:p>
      <w:pPr>
        <w:pStyle w:val="Heading1"/>
      </w:pPr>
      <w:r>
        <w:t>5. Records and evidence</w:t>
      </w:r>
    </w:p>
    <w:p>
      <w:pPr>
        <w:pStyle w:val="ListBullet"/>
      </w:pPr>
      <w:r>
        <w:rPr>
          <w:b w:val="0"/>
          <w:i w:val="0"/>
        </w:rPr>
        <w:t>PIMS-REG-05 International transfer register with the mechanism, reference and assessment for every transfer.</w:t>
      </w:r>
    </w:p>
    <w:p>
      <w:pPr>
        <w:pStyle w:val="ListBullet"/>
      </w:pPr>
      <w:r>
        <w:rPr>
          <w:b w:val="0"/>
          <w:i w:val="0"/>
        </w:rPr>
        <w:t>Completed GDPR-TPL-08 transfer impact assessments and their reviews.</w:t>
      </w:r>
    </w:p>
    <w:p>
      <w:pPr>
        <w:pStyle w:val="ListBullet"/>
      </w:pPr>
      <w:r>
        <w:rPr>
          <w:b w:val="0"/>
          <w:i w:val="0"/>
        </w:rPr>
        <w:t>Signed standard contractual clauses or other instruments, with the version and the module used.</w:t>
      </w:r>
    </w:p>
    <w:p>
      <w:pPr>
        <w:pStyle w:val="ListBullet"/>
      </w:pPr>
      <w:r>
        <w:rPr>
          <w:b w:val="0"/>
          <w:i w:val="0"/>
        </w:rPr>
        <w:t>PIMS-REG-06 and GOV-REG-07 location entries for suppliers and sub-processors.</w:t>
      </w:r>
    </w:p>
    <w:p>
      <w:pPr>
        <w:pStyle w:val="ListBullet"/>
      </w:pPr>
      <w:r>
        <w:rPr>
          <w:b w:val="0"/>
          <w:i w:val="0"/>
        </w:rPr>
        <w:t>GOV-PRO-26 region evidence and GOV-POL-05 approvals for working abroad.</w:t>
      </w:r>
    </w:p>
    <w:p>
      <w:pPr>
        <w:pStyle w:val="Heading1"/>
      </w:pPr>
      <w:r>
        <w:t>6. Exceptions</w:t>
      </w:r>
    </w:p>
    <w:p>
      <w:r>
        <w:rPr>
          <w:b w:val="0"/>
          <w:i w:val="0"/>
        </w:rPr>
        <w:t>A derogation under 4.3 is the only exception and is used as that row describes. No transfer proceeds on the basis that a mechanism will be put in place later.</w:t>
      </w:r>
    </w:p>
    <w:p>
      <w:pPr>
        <w:pStyle w:val="Heading1"/>
      </w:pPr>
      <w:r>
        <w:t>7. Review and maintenance</w:t>
      </w:r>
    </w:p>
    <w:p>
      <w:r>
        <w:rPr>
          <w:b w:val="0"/>
          <w:i w:val="0"/>
        </w:rPr>
        <w:t>The Privacy Officer reviews this policy annually, after any change in transfer law or adequacy recognitions recorded in GOV-REG-04, after a request from a foreign authority, and after an audit finding. Changes follow GOV-PRO-01.</w:t>
      </w:r>
    </w:p>
    <w:p>
      <w:pPr>
        <w:pStyle w:val="Heading1"/>
      </w:pPr>
      <w:r>
        <w:t>8. Related documents</w:t>
      </w:r>
    </w:p>
    <w:p>
      <w:pPr>
        <w:pStyle w:val="ListBullet"/>
      </w:pPr>
      <w:r>
        <w:rPr>
          <w:b w:val="0"/>
          <w:i w:val="0"/>
        </w:rPr>
        <w:t>GDPR-TPL-08 Transfer impact assessment template</w:t>
      </w:r>
    </w:p>
    <w:p>
      <w:pPr>
        <w:pStyle w:val="ListBullet"/>
      </w:pPr>
      <w:r>
        <w:rPr>
          <w:b w:val="0"/>
          <w:i w:val="0"/>
        </w:rPr>
        <w:t>PIMS-REG-05 International transfer register</w:t>
      </w:r>
    </w:p>
    <w:p>
      <w:pPr>
        <w:pStyle w:val="ListBullet"/>
      </w:pPr>
      <w:r>
        <w:rPr>
          <w:b w:val="0"/>
          <w:i w:val="0"/>
        </w:rPr>
        <w:t>PIMS-REG-06 Processor and sub-processor register</w:t>
      </w:r>
    </w:p>
    <w:p>
      <w:pPr>
        <w:pStyle w:val="ListBullet"/>
      </w:pPr>
      <w:r>
        <w:rPr>
          <w:b w:val="0"/>
          <w:i w:val="0"/>
        </w:rPr>
        <w:t>PIMS-REG-01 Personal data processing inventory</w:t>
      </w:r>
    </w:p>
    <w:p>
      <w:pPr>
        <w:pStyle w:val="ListBullet"/>
      </w:pPr>
      <w:r>
        <w:rPr>
          <w:b w:val="0"/>
          <w:i w:val="0"/>
        </w:rPr>
        <w:t>PIMS-TPL-02 Data processing agreement template</w:t>
      </w:r>
    </w:p>
    <w:p>
      <w:pPr>
        <w:pStyle w:val="ListBullet"/>
      </w:pPr>
      <w:r>
        <w:rPr>
          <w:b w:val="0"/>
          <w:i w:val="0"/>
        </w:rPr>
        <w:t>PIMS-PRO-05 Consent and privacy notice management procedure</w:t>
      </w:r>
    </w:p>
    <w:p>
      <w:pPr>
        <w:pStyle w:val="ListBullet"/>
      </w:pPr>
      <w:r>
        <w:rPr>
          <w:b w:val="0"/>
          <w:i w:val="0"/>
        </w:rPr>
        <w:t>GOV-PRO-06 Supplier and third party security procedure</w:t>
      </w:r>
    </w:p>
    <w:p>
      <w:pPr>
        <w:pStyle w:val="ListBullet"/>
      </w:pPr>
      <w:r>
        <w:rPr>
          <w:b w:val="0"/>
          <w:i w:val="0"/>
        </w:rPr>
        <w:t>GOV-PRO-26 Cloud services security procedure</w:t>
      </w:r>
    </w:p>
    <w:p>
      <w:pPr>
        <w:pStyle w:val="ListBullet"/>
      </w:pPr>
      <w:r>
        <w:rPr>
          <w:b w:val="0"/>
          <w:i w:val="0"/>
        </w:rPr>
        <w:t>GOV-PRO-25 Legal, regulatory and contractual compliance procedure</w:t>
      </w:r>
    </w:p>
    <w:p>
      <w:pPr>
        <w:pStyle w:val="ListBullet"/>
      </w:pPr>
      <w:r>
        <w:rPr>
          <w:b w:val="0"/>
          <w:i w:val="0"/>
        </w:rPr>
        <w:t>GOV-POL-05 Remote and mobile working policy</w:t>
      </w:r>
    </w:p>
    <w:p>
      <w:pPr>
        <w:pStyle w:val="ListBullet"/>
      </w:pPr>
      <w:r>
        <w:rPr>
          <w:b w:val="0"/>
          <w:i w:val="0"/>
        </w:rPr>
        <w:t>GDPR-REG-02 Data flow and transfer map</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PIMS-POL-03  |  International transfer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