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PB-03</w:t>
      </w:r>
    </w:p>
    <w:p>
      <w:r>
        <w:rPr>
          <w:b/>
          <w:color w:val="0B2D4D"/>
          <w:sz w:val="44"/>
        </w:rPr>
        <w:t>Playbook: SOC 2 Type 2 readiness in 90 days</w:t>
      </w:r>
    </w:p>
    <w:p>
      <w:r>
        <w:rPr>
          <w:i/>
          <w:color w:val="526478"/>
        </w:rPr>
        <w:t>How to get a small organisation ready for a SOC 2 Type 2 examination in about ninety days, then run the observation period the auditor samples.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PB-03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Playbook: SOC 2 Type 2 readiness in 90 days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Playbook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SOC 2 CC4.1; SOC 2 CC1.2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Chief Executive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b w:val="0"/>
          <w:i w:val="0"/>
        </w:rPr>
        <w:t>This playbook takes a team with little formal structure to the point where a SOC 2 Type 2 examination can begin. It explains the difference between design and operation, the ninety days of preparation, and the observation period that follows, which is where the real evidence is made.</w:t>
      </w:r>
    </w:p>
    <w:p>
      <w:pPr>
        <w:pStyle w:val="Heading1"/>
      </w:pPr>
      <w:r>
        <w:t>2. What SOC 2 is, in one paragraph</w:t>
      </w:r>
    </w:p>
    <w:p>
      <w:r>
        <w:rPr>
          <w:b w:val="0"/>
          <w:i w:val="0"/>
        </w:rPr>
        <w:t>SOC 2 is a report, not a certificate, written by a licensed accounting firm against the Trust Services Criteria. A Type 1 report says the controls are suitably designed at a point in time. A Type 2 report says they also operated over a period, usually three to twelve months. Security is always in scope; availability, confidentiality, processing integrity and privacy are added only if you commit to them. The report reader, often a customer's security team, drives the scope.</w:t>
      </w:r>
    </w:p>
    <w:p>
      <w:pPr>
        <w:pStyle w:val="Heading1"/>
      </w:pPr>
      <w:r>
        <w:t>3.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Role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In this effort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Project owner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Runs the readiness work and the evidence calendar.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Chief Executive Officer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Owns commitments, approves policies, chairs governance.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Engineering and operations leads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Produce technical evidence and fix technical gaps.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People lead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Produces onboarding, training and background-check evidence.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Auditor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accounting firm, engaged once design is in place.</w:t>
            </w:r>
          </w:p>
        </w:tc>
      </w:tr>
    </w:tbl>
    <w:p/>
    <w:p>
      <w:pPr>
        <w:pStyle w:val="Heading1"/>
      </w:pPr>
      <w:r>
        <w:t>4. The phases</w:t>
      </w:r>
    </w:p>
    <w:p>
      <w:r>
        <w:rPr>
          <w:b w:val="0"/>
          <w:i w:val="0"/>
        </w:rPr>
        <w:t xml:space="preserve">4.1 </w:t>
      </w:r>
      <w:r>
        <w:rPr>
          <w:b/>
        </w:rPr>
        <w:t>Scope and categories (about days 0 to 10).</w:t>
      </w:r>
      <w:r>
        <w:rPr>
          <w:b w:val="0"/>
          <w:i w:val="0"/>
        </w:rPr>
        <w:t xml:space="preserve"> Decide which Trust Services categories the report covers, based on what customers ask for. Define the system: the product, the people, the locations, the technology and the supporting corporate systems. Draft the system description with SOC-TPL-01.</w:t>
      </w:r>
    </w:p>
    <w:p>
      <w:r>
        <w:rPr>
          <w:b w:val="0"/>
          <w:i w:val="0"/>
        </w:rPr>
        <w:t xml:space="preserve">4.2 </w:t>
      </w:r>
      <w:r>
        <w:rPr>
          <w:b/>
        </w:rPr>
        <w:t>Gap assessment (about days 10 to 25).</w:t>
      </w:r>
      <w:r>
        <w:rPr>
          <w:b w:val="0"/>
          <w:i w:val="0"/>
        </w:rPr>
        <w:t xml:space="preserve"> Fill the readiness checklist (SOC-REG-03) and map every criterion to a control in the matrix (SOC-REG-01). Each gap becomes a corrective action in GOV-REG-03 with an owner and a date.</w:t>
      </w:r>
    </w:p>
    <w:p>
      <w:r>
        <w:rPr>
          <w:b w:val="0"/>
          <w:i w:val="0"/>
        </w:rPr>
        <w:t xml:space="preserve">4.3 </w:t>
      </w:r>
      <w:r>
        <w:rPr>
          <w:b/>
        </w:rPr>
        <w:t>Remediation (about days 25 to 60).</w:t>
      </w:r>
      <w:r>
        <w:rPr>
          <w:b w:val="0"/>
          <w:i w:val="0"/>
        </w:rPr>
        <w:t xml:space="preserve"> Close the gaps. Adopt the policies and procedures the criteria need, turn on the technical controls, and make sure each control has a named owner and a place where its evidence lands.</w:t>
      </w:r>
    </w:p>
    <w:p>
      <w:r>
        <w:rPr>
          <w:b w:val="0"/>
          <w:i w:val="0"/>
        </w:rPr>
        <w:t xml:space="preserve">4.4 </w:t>
      </w:r>
      <w:r>
        <w:rPr>
          <w:b/>
        </w:rPr>
        <w:t>Evidence collection begins (about days 60 to 90).</w:t>
      </w:r>
      <w:r>
        <w:rPr>
          <w:b w:val="0"/>
          <w:i w:val="0"/>
        </w:rPr>
        <w:t xml:space="preserve"> Start the evidence calendar (SOC-REG-02). From here on, every recurring control must produce evidence for every occurrence. This is the habit the Type 2 period depends on.</w:t>
      </w:r>
    </w:p>
    <w:p>
      <w:r>
        <w:rPr>
          <w:b w:val="0"/>
          <w:i w:val="0"/>
        </w:rPr>
        <w:t xml:space="preserve">4.5 </w:t>
      </w:r>
      <w:r>
        <w:rPr>
          <w:b/>
        </w:rPr>
        <w:t>The observation period (three to twelve months).</w:t>
      </w:r>
      <w:r>
        <w:rPr>
          <w:b w:val="0"/>
          <w:i w:val="0"/>
        </w:rPr>
        <w:t xml:space="preserve"> The controls operate and produce evidence continuously. Access reviews, vulnerability scans, change approvals, backups and training all run on their cadence, and each occurrence is kept. A Type 1 report at the ninety-day mark is an optional milestone that proves design while the period runs.</w:t>
      </w:r>
    </w:p>
    <w:p>
      <w:r>
        <w:rPr>
          <w:b w:val="0"/>
          <w:i w:val="0"/>
        </w:rPr>
        <w:t xml:space="preserve">4.6 </w:t>
      </w:r>
      <w:r>
        <w:rPr>
          <w:b/>
        </w:rPr>
        <w:t>Audit fieldwork and report.</w:t>
      </w:r>
      <w:r>
        <w:rPr>
          <w:b w:val="0"/>
          <w:i w:val="0"/>
        </w:rPr>
        <w:t xml:space="preserve"> The auditor samples the period, holds walkthroughs, inspects evidence and writes the report. Gaps found here are expensive, which is why the evidence calendar matters more than any single document.</w:t>
      </w:r>
    </w:p>
    <w:p>
      <w:pPr>
        <w:pStyle w:val="Heading1"/>
      </w:pPr>
      <w:r>
        <w:t>5. The evidence calendar is the backbone</w:t>
      </w:r>
    </w:p>
    <w:p>
      <w:r>
        <w:rPr>
          <w:b w:val="0"/>
          <w:i w:val="0"/>
        </w:rPr>
        <w:t>The single most useful tool is the recurring-events calendar (SOC-REG-02): the daily, weekly, monthly, quarterly and annual control events, each with an owner and the evidence it produces. A common monthly discipline is to spot-check one-twelfth of the controls, so that the whole set is reviewed once a year outside the audit.</w:t>
      </w:r>
    </w:p>
    <w:p>
      <w:pPr>
        <w:pStyle w:val="Heading1"/>
      </w:pPr>
      <w:r>
        <w:t>6. What good evidence looks like</w:t>
      </w:r>
    </w:p>
    <w:p>
      <w:r>
        <w:rPr>
          <w:b w:val="0"/>
          <w:i w:val="0"/>
        </w:rPr>
        <w:t>Evidence is a system export, a ticket, an approval or a dated screenshot, named as PB-09 describes, showing who did what and when. A blank template is not evidence. An empty register is not evidence. Back-dating is never evidence. If a control did not run, record that it did not and open a corrective action.</w:t>
      </w:r>
    </w:p>
    <w:p>
      <w:pPr>
        <w:pStyle w:val="Heading1"/>
      </w:pPr>
      <w:r>
        <w:t>7. Common gaps to expect</w:t>
      </w:r>
    </w:p>
    <w:p>
      <w:r>
        <w:rPr>
          <w:b w:val="0"/>
          <w:i w:val="0"/>
        </w:rPr>
        <w:t>Governance and HR evidence (board minutes, job descriptions, background checks, training records), a complete system description, a populated vendor inventory with assurance, and proof that recurring technical controls actually ran. Start these early; they take the longest to produce.</w:t>
      </w:r>
    </w:p>
    <w:p>
      <w:pPr>
        <w:pStyle w:val="Heading1"/>
      </w:pPr>
      <w:r>
        <w:t>8. Related documents</w:t>
      </w:r>
    </w:p>
    <w:p>
      <w:pPr>
        <w:pStyle w:val="ListBullet"/>
      </w:pPr>
      <w:r>
        <w:rPr>
          <w:b w:val="0"/>
          <w:i w:val="0"/>
        </w:rPr>
        <w:t>SOC-GDE-01 SOC 2 in plain words</w:t>
      </w:r>
    </w:p>
    <w:p>
      <w:pPr>
        <w:pStyle w:val="ListBullet"/>
      </w:pPr>
      <w:r>
        <w:rPr>
          <w:b w:val="0"/>
          <w:i w:val="0"/>
        </w:rPr>
        <w:t>SOC-TPL-01 System description template</w:t>
      </w:r>
    </w:p>
    <w:p>
      <w:pPr>
        <w:pStyle w:val="ListBullet"/>
      </w:pPr>
      <w:r>
        <w:rPr>
          <w:b w:val="0"/>
          <w:i w:val="0"/>
        </w:rPr>
        <w:t>SOC-REG-01 Trust Services Criteria control matrix</w:t>
      </w:r>
    </w:p>
    <w:p>
      <w:pPr>
        <w:pStyle w:val="ListBullet"/>
      </w:pPr>
      <w:r>
        <w:rPr>
          <w:b w:val="0"/>
          <w:i w:val="0"/>
        </w:rPr>
        <w:t>SOC-REG-02 Evidence calendar</w:t>
      </w:r>
    </w:p>
    <w:p>
      <w:pPr>
        <w:pStyle w:val="ListBullet"/>
      </w:pPr>
      <w:r>
        <w:rPr>
          <w:b w:val="0"/>
          <w:i w:val="0"/>
        </w:rPr>
        <w:t>SOC-REG-03 Readiness checklist</w:t>
      </w:r>
    </w:p>
    <w:p>
      <w:pPr>
        <w:pStyle w:val="ListBullet"/>
      </w:pPr>
      <w:r>
        <w:rPr>
          <w:b w:val="0"/>
          <w:i w:val="0"/>
        </w:rPr>
        <w:t>PB-08 Running a readiness assessment</w:t>
      </w:r>
    </w:p>
    <w:p>
      <w:pPr>
        <w:pStyle w:val="ListBullet"/>
      </w:pPr>
      <w:r>
        <w:rPr>
          <w:b w:val="0"/>
          <w:i w:val="0"/>
        </w:rPr>
        <w:t>PB-09 Evidence management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PB-03  |  Playbook: SOC 2 Type 2 readiness in 90 days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