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GDPR-TPL-02</w:t>
      </w:r>
    </w:p>
    <w:p>
      <w:r>
        <w:rPr>
          <w:b/>
          <w:color w:val="0B2D4D"/>
          <w:sz w:val="44"/>
        </w:rPr>
        <w:t>Employee privacy notice template</w:t>
      </w:r>
    </w:p>
    <w:p>
      <w:r>
        <w:rPr>
          <w:i/>
          <w:color w:val="526478"/>
        </w:rPr>
        <w:t>The notice given to employees, contractors and temporary workers with their contract, describing how [Organisation] uses workforce data under GDPR-PRO-02.</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GDPR-TPL-02</w:t>
            </w:r>
          </w:p>
        </w:tc>
      </w:tr>
      <w:tr>
        <w:tc>
          <w:tcPr>
            <w:tcW w:type="dxa" w:w="2551"/>
            <w:shd w:val="clear" w:color="auto" w:fill="EEF3F8"/>
          </w:tcPr>
          <w:p>
            <w:pPr>
              <w:spacing w:after="40"/>
            </w:pPr>
            <w:r>
              <w:rPr>
                <w:b/>
                <w:sz w:val="19"/>
              </w:rPr>
              <w:t>Title</w:t>
            </w:r>
          </w:p>
        </w:tc>
        <w:tc>
          <w:tcPr>
            <w:tcW w:type="dxa" w:w="6803"/>
          </w:tcPr>
          <w:p>
            <w:pPr>
              <w:spacing w:after="40"/>
            </w:pPr>
            <w:r>
              <w:rPr>
                <w:sz w:val="19"/>
              </w:rPr>
              <w:t>Employee privacy notice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13; GDPR Article 88; ISO/IEC 27701 Annex A 7.3.2</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People</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and are removed before issue. Give this notice with the employment contract or engagement letter, record the issue in the employee file, and re-issue it after any material change. Each statement must match the HR rows in PIMS-REG-01 and the periods in PIMS-REG-07. Where a works council, staff association or collective agreement exists, consult it before changes to sections 5 and 7.</w:t>
      </w:r>
    </w:p>
    <w:p>
      <w:pPr>
        <w:pStyle w:val="Heading1"/>
      </w:pPr>
      <w:r>
        <w:t>1. Who we are and who to contact</w:t>
      </w:r>
    </w:p>
    <w:p>
      <w:r>
        <w:rPr>
          <w:b w:val="0"/>
          <w:i w:val="0"/>
        </w:rPr>
        <w:t>[Organisation], [registered address], is the controller of the personal data we hold about you as a member of our workforce. Questions about this notice go to [the people function contact channel] or to [the Privacy Officer or Data Protection Officer contact].</w:t>
      </w:r>
    </w:p>
    <w:p>
      <w:pPr>
        <w:pStyle w:val="Heading1"/>
      </w:pPr>
      <w:r>
        <w:t>2. Who this notice covers</w:t>
      </w:r>
    </w:p>
    <w:p>
      <w:r>
        <w:rPr>
          <w:b w:val="0"/>
          <w:i w:val="0"/>
        </w:rPr>
        <w:t>This notice applies to employees, contractors, temporary and agency workers, interns and volunteers, during your engagement and afterwards for as long as we keep your records. Applicants have a separate notice given during recruitment.</w:t>
      </w:r>
    </w:p>
    <w:p>
      <w:pPr>
        <w:pStyle w:val="Heading1"/>
      </w:pPr>
      <w:r>
        <w:t>3. The data we hold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Category</w:t>
            </w:r>
          </w:p>
        </w:tc>
        <w:tc>
          <w:tcPr>
            <w:tcW w:type="dxa" w:w="4873"/>
            <w:shd w:val="clear" w:color="auto" w:fill="EEF3F8"/>
          </w:tcPr>
          <w:p>
            <w:pPr>
              <w:spacing w:after="40"/>
            </w:pPr>
            <w:r>
              <w:rPr>
                <w:b/>
                <w:i w:val="0"/>
                <w:sz w:val="19"/>
              </w:rPr>
              <w:t>Examples</w:t>
            </w:r>
          </w:p>
        </w:tc>
      </w:tr>
      <w:tr>
        <w:tc>
          <w:tcPr>
            <w:tcW w:type="dxa" w:w="4873"/>
          </w:tcPr>
          <w:p>
            <w:pPr>
              <w:spacing w:after="40"/>
            </w:pPr>
            <w:r>
              <w:rPr>
                <w:b w:val="0"/>
                <w:i w:val="0"/>
                <w:sz w:val="19"/>
              </w:rPr>
              <w:t>Identity and contact</w:t>
            </w:r>
          </w:p>
        </w:tc>
        <w:tc>
          <w:tcPr>
            <w:tcW w:type="dxa" w:w="4873"/>
          </w:tcPr>
          <w:p>
            <w:pPr>
              <w:spacing w:after="40"/>
            </w:pPr>
            <w:r>
              <w:rPr>
                <w:b w:val="0"/>
                <w:i w:val="0"/>
                <w:sz w:val="19"/>
              </w:rPr>
              <w:t>Name, address, date of birth, personal contact details, emergency contacts, identification documents, right to work evidence</w:t>
            </w:r>
          </w:p>
        </w:tc>
      </w:tr>
      <w:tr>
        <w:tc>
          <w:tcPr>
            <w:tcW w:type="dxa" w:w="4873"/>
          </w:tcPr>
          <w:p>
            <w:pPr>
              <w:spacing w:after="40"/>
            </w:pPr>
            <w:r>
              <w:rPr>
                <w:b w:val="0"/>
                <w:i w:val="0"/>
                <w:sz w:val="19"/>
              </w:rPr>
              <w:t>Engagement</w:t>
            </w:r>
          </w:p>
        </w:tc>
        <w:tc>
          <w:tcPr>
            <w:tcW w:type="dxa" w:w="4873"/>
          </w:tcPr>
          <w:p>
            <w:pPr>
              <w:spacing w:after="40"/>
            </w:pPr>
            <w:r>
              <w:rPr>
                <w:b w:val="0"/>
                <w:i w:val="0"/>
                <w:sz w:val="19"/>
              </w:rPr>
              <w:t>Contract, role, grade, working pattern, location, start and end dates, manager, notice period</w:t>
            </w:r>
          </w:p>
        </w:tc>
      </w:tr>
      <w:tr>
        <w:tc>
          <w:tcPr>
            <w:tcW w:type="dxa" w:w="4873"/>
          </w:tcPr>
          <w:p>
            <w:pPr>
              <w:spacing w:after="40"/>
            </w:pPr>
            <w:r>
              <w:rPr>
                <w:b w:val="0"/>
                <w:i w:val="0"/>
                <w:sz w:val="19"/>
              </w:rPr>
              <w:t>Pay and benefits</w:t>
            </w:r>
          </w:p>
        </w:tc>
        <w:tc>
          <w:tcPr>
            <w:tcW w:type="dxa" w:w="4873"/>
          </w:tcPr>
          <w:p>
            <w:pPr>
              <w:spacing w:after="40"/>
            </w:pPr>
            <w:r>
              <w:rPr>
                <w:b w:val="0"/>
                <w:i w:val="0"/>
                <w:sz w:val="19"/>
              </w:rPr>
              <w:t>Bank details, salary, tax and social security references, pension, expenses, benefits elections</w:t>
            </w:r>
          </w:p>
        </w:tc>
      </w:tr>
      <w:tr>
        <w:tc>
          <w:tcPr>
            <w:tcW w:type="dxa" w:w="4873"/>
          </w:tcPr>
          <w:p>
            <w:pPr>
              <w:spacing w:after="40"/>
            </w:pPr>
            <w:r>
              <w:rPr>
                <w:b w:val="0"/>
                <w:i w:val="0"/>
                <w:sz w:val="19"/>
              </w:rPr>
              <w:t>Performance and development</w:t>
            </w:r>
          </w:p>
        </w:tc>
        <w:tc>
          <w:tcPr>
            <w:tcW w:type="dxa" w:w="4873"/>
          </w:tcPr>
          <w:p>
            <w:pPr>
              <w:spacing w:after="40"/>
            </w:pPr>
            <w:r>
              <w:rPr>
                <w:b w:val="0"/>
                <w:i w:val="0"/>
                <w:sz w:val="19"/>
              </w:rPr>
              <w:t>Objectives, appraisals, training records, qualifications, promotions, disciplinary and grievance records</w:t>
            </w:r>
          </w:p>
        </w:tc>
      </w:tr>
      <w:tr>
        <w:tc>
          <w:tcPr>
            <w:tcW w:type="dxa" w:w="4873"/>
          </w:tcPr>
          <w:p>
            <w:pPr>
              <w:spacing w:after="40"/>
            </w:pPr>
            <w:r>
              <w:rPr>
                <w:b w:val="0"/>
                <w:i w:val="0"/>
                <w:sz w:val="19"/>
              </w:rPr>
              <w:t>Absence and health</w:t>
            </w:r>
          </w:p>
        </w:tc>
        <w:tc>
          <w:tcPr>
            <w:tcW w:type="dxa" w:w="4873"/>
          </w:tcPr>
          <w:p>
            <w:pPr>
              <w:spacing w:after="40"/>
            </w:pPr>
            <w:r>
              <w:rPr>
                <w:b w:val="0"/>
                <w:i w:val="0"/>
                <w:sz w:val="19"/>
              </w:rPr>
              <w:t xml:space="preserve">Holiday, sickness absence and reasons, medical certificates, occupational health reports, adjustments </w:t>
            </w:r>
            <w:r>
              <w:rPr>
                <w:i/>
                <w:sz w:val="19"/>
              </w:rPr>
              <w:t>(special category data, see section 6)</w:t>
            </w:r>
          </w:p>
        </w:tc>
      </w:tr>
      <w:tr>
        <w:tc>
          <w:tcPr>
            <w:tcW w:type="dxa" w:w="4873"/>
          </w:tcPr>
          <w:p>
            <w:pPr>
              <w:spacing w:after="40"/>
            </w:pPr>
            <w:r>
              <w:rPr>
                <w:b w:val="0"/>
                <w:i w:val="0"/>
                <w:sz w:val="19"/>
              </w:rPr>
              <w:t>Security and systems</w:t>
            </w:r>
          </w:p>
        </w:tc>
        <w:tc>
          <w:tcPr>
            <w:tcW w:type="dxa" w:w="4873"/>
          </w:tcPr>
          <w:p>
            <w:pPr>
              <w:spacing w:after="40"/>
            </w:pPr>
            <w:r>
              <w:rPr>
                <w:b w:val="0"/>
                <w:i w:val="0"/>
                <w:sz w:val="19"/>
              </w:rPr>
              <w:t>Account identifiers, access rights, building access records, device records, logs generated by using our systems</w:t>
            </w:r>
          </w:p>
        </w:tc>
      </w:tr>
      <w:tr>
        <w:tc>
          <w:tcPr>
            <w:tcW w:type="dxa" w:w="4873"/>
          </w:tcPr>
          <w:p>
            <w:pPr>
              <w:spacing w:after="40"/>
            </w:pPr>
            <w:r>
              <w:rPr>
                <w:b w:val="0"/>
                <w:i w:val="0"/>
                <w:sz w:val="19"/>
              </w:rPr>
              <w:t>Monitoring records</w:t>
            </w:r>
          </w:p>
        </w:tc>
        <w:tc>
          <w:tcPr>
            <w:tcW w:type="dxa" w:w="4873"/>
          </w:tcPr>
          <w:p>
            <w:pPr>
              <w:spacing w:after="40"/>
            </w:pPr>
            <w:r>
              <w:rPr>
                <w:b w:val="0"/>
                <w:i w:val="0"/>
                <w:sz w:val="19"/>
              </w:rPr>
              <w:t>[Email and internet logs, access logs, CCTV images where installed] as described in section 7</w:t>
            </w:r>
          </w:p>
        </w:tc>
      </w:tr>
      <w:tr>
        <w:tc>
          <w:tcPr>
            <w:tcW w:type="dxa" w:w="4873"/>
          </w:tcPr>
          <w:p>
            <w:pPr>
              <w:spacing w:after="40"/>
            </w:pPr>
            <w:r>
              <w:rPr>
                <w:b w:val="0"/>
                <w:i w:val="0"/>
                <w:sz w:val="19"/>
              </w:rPr>
              <w:t>Equality monitoring</w:t>
            </w:r>
          </w:p>
        </w:tc>
        <w:tc>
          <w:tcPr>
            <w:tcW w:type="dxa" w:w="4873"/>
          </w:tcPr>
          <w:p>
            <w:pPr>
              <w:spacing w:after="40"/>
            </w:pPr>
            <w:r>
              <w:rPr>
                <w:b w:val="0"/>
                <w:i w:val="0"/>
                <w:sz w:val="19"/>
              </w:rPr>
              <w:t xml:space="preserve">Ethnic origin, disability, religion, sexual orientation, where you choose to give them </w:t>
            </w:r>
            <w:r>
              <w:rPr>
                <w:i/>
                <w:sz w:val="19"/>
              </w:rPr>
              <w:t>(optional, special category)</w:t>
            </w:r>
          </w:p>
        </w:tc>
      </w:tr>
    </w:tbl>
    <w:p/>
    <w:p>
      <w:r>
        <w:rPr>
          <w:b w:val="0"/>
          <w:i w:val="0"/>
        </w:rPr>
        <w:t>Most of this data comes from you. Some comes from your manager, from colleagues (for example in appraisals), from referees, from background check providers, and from the systems you use.</w:t>
      </w:r>
    </w:p>
    <w:p>
      <w:pPr>
        <w:pStyle w:val="Heading1"/>
      </w:pPr>
      <w:r>
        <w:t>4. Why we use your data and on what basis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Purpose</w:t>
            </w:r>
          </w:p>
        </w:tc>
        <w:tc>
          <w:tcPr>
            <w:tcW w:type="dxa" w:w="4873"/>
            <w:shd w:val="clear" w:color="auto" w:fill="EEF3F8"/>
          </w:tcPr>
          <w:p>
            <w:pPr>
              <w:spacing w:after="40"/>
            </w:pPr>
            <w:r>
              <w:rPr>
                <w:b/>
                <w:i w:val="0"/>
                <w:sz w:val="19"/>
              </w:rPr>
              <w:t>Legal basis</w:t>
            </w:r>
          </w:p>
        </w:tc>
      </w:tr>
      <w:tr>
        <w:tc>
          <w:tcPr>
            <w:tcW w:type="dxa" w:w="4873"/>
          </w:tcPr>
          <w:p>
            <w:pPr>
              <w:spacing w:after="40"/>
            </w:pPr>
            <w:r>
              <w:rPr>
                <w:b w:val="0"/>
                <w:i w:val="0"/>
                <w:sz w:val="19"/>
              </w:rPr>
              <w:t>Running your contract: paying you, managing holiday, benefits, performance and development</w:t>
            </w:r>
          </w:p>
        </w:tc>
        <w:tc>
          <w:tcPr>
            <w:tcW w:type="dxa" w:w="4873"/>
          </w:tcPr>
          <w:p>
            <w:pPr>
              <w:spacing w:after="40"/>
            </w:pPr>
            <w:r>
              <w:rPr>
                <w:b w:val="0"/>
                <w:i w:val="0"/>
                <w:sz w:val="19"/>
              </w:rPr>
              <w:t>Performance of your contract</w:t>
            </w:r>
          </w:p>
        </w:tc>
      </w:tr>
      <w:tr>
        <w:tc>
          <w:tcPr>
            <w:tcW w:type="dxa" w:w="4873"/>
          </w:tcPr>
          <w:p>
            <w:pPr>
              <w:spacing w:after="40"/>
            </w:pPr>
            <w:r>
              <w:rPr>
                <w:b w:val="0"/>
                <w:i w:val="0"/>
                <w:sz w:val="19"/>
              </w:rPr>
              <w:t>Meeting legal duties: tax, social security, right to work, health and safety, statutory leave</w:t>
            </w:r>
          </w:p>
        </w:tc>
        <w:tc>
          <w:tcPr>
            <w:tcW w:type="dxa" w:w="4873"/>
          </w:tcPr>
          <w:p>
            <w:pPr>
              <w:spacing w:after="40"/>
            </w:pPr>
            <w:r>
              <w:rPr>
                <w:b w:val="0"/>
                <w:i w:val="0"/>
                <w:sz w:val="19"/>
              </w:rPr>
              <w:t>Legal obligation</w:t>
            </w:r>
          </w:p>
        </w:tc>
      </w:tr>
      <w:tr>
        <w:tc>
          <w:tcPr>
            <w:tcW w:type="dxa" w:w="4873"/>
          </w:tcPr>
          <w:p>
            <w:pPr>
              <w:spacing w:after="40"/>
            </w:pPr>
            <w:r>
              <w:rPr>
                <w:b w:val="0"/>
                <w:i w:val="0"/>
                <w:sz w:val="19"/>
              </w:rPr>
              <w:t>Managing the workplace: planning, resourcing, communications, internal directories</w:t>
            </w:r>
          </w:p>
        </w:tc>
        <w:tc>
          <w:tcPr>
            <w:tcW w:type="dxa" w:w="4873"/>
          </w:tcPr>
          <w:p>
            <w:pPr>
              <w:spacing w:after="40"/>
            </w:pPr>
            <w:r>
              <w:rPr>
                <w:b w:val="0"/>
                <w:i w:val="0"/>
                <w:sz w:val="19"/>
              </w:rPr>
              <w:t>Our legitimate interest in running the organisation</w:t>
            </w:r>
          </w:p>
        </w:tc>
      </w:tr>
      <w:tr>
        <w:tc>
          <w:tcPr>
            <w:tcW w:type="dxa" w:w="4873"/>
          </w:tcPr>
          <w:p>
            <w:pPr>
              <w:spacing w:after="40"/>
            </w:pPr>
            <w:r>
              <w:rPr>
                <w:b w:val="0"/>
                <w:i w:val="0"/>
                <w:sz w:val="19"/>
              </w:rPr>
              <w:t>Keeping systems, premises and information secure, including the monitoring in section 7</w:t>
            </w:r>
          </w:p>
        </w:tc>
        <w:tc>
          <w:tcPr>
            <w:tcW w:type="dxa" w:w="4873"/>
          </w:tcPr>
          <w:p>
            <w:pPr>
              <w:spacing w:after="40"/>
            </w:pPr>
            <w:r>
              <w:rPr>
                <w:b w:val="0"/>
                <w:i w:val="0"/>
                <w:sz w:val="19"/>
              </w:rPr>
              <w:t>Our legitimate interest in security and legal compliance</w:t>
            </w:r>
          </w:p>
        </w:tc>
      </w:tr>
      <w:tr>
        <w:tc>
          <w:tcPr>
            <w:tcW w:type="dxa" w:w="4873"/>
          </w:tcPr>
          <w:p>
            <w:pPr>
              <w:spacing w:after="40"/>
            </w:pPr>
            <w:r>
              <w:rPr>
                <w:b w:val="0"/>
                <w:i w:val="0"/>
                <w:sz w:val="19"/>
              </w:rPr>
              <w:t>Handling grievances, disciplinary matters, investigations and legal claims</w:t>
            </w:r>
          </w:p>
        </w:tc>
        <w:tc>
          <w:tcPr>
            <w:tcW w:type="dxa" w:w="4873"/>
          </w:tcPr>
          <w:p>
            <w:pPr>
              <w:spacing w:after="40"/>
            </w:pPr>
            <w:r>
              <w:rPr>
                <w:b w:val="0"/>
                <w:i w:val="0"/>
                <w:sz w:val="19"/>
              </w:rPr>
              <w:t>Our legitimate interest in managing the workforce and defending claims; legal obligation where it applies</w:t>
            </w:r>
          </w:p>
        </w:tc>
      </w:tr>
      <w:tr>
        <w:tc>
          <w:tcPr>
            <w:tcW w:type="dxa" w:w="4873"/>
          </w:tcPr>
          <w:p>
            <w:pPr>
              <w:spacing w:after="40"/>
            </w:pPr>
            <w:r>
              <w:rPr>
                <w:b w:val="0"/>
                <w:i w:val="0"/>
                <w:sz w:val="19"/>
              </w:rPr>
              <w:t>Equality monitoring and reporting</w:t>
            </w:r>
          </w:p>
        </w:tc>
        <w:tc>
          <w:tcPr>
            <w:tcW w:type="dxa" w:w="4873"/>
          </w:tcPr>
          <w:p>
            <w:pPr>
              <w:spacing w:after="40"/>
            </w:pPr>
            <w:r>
              <w:rPr>
                <w:b w:val="0"/>
                <w:i w:val="0"/>
                <w:sz w:val="19"/>
              </w:rPr>
              <w:t>Your explicit consent, or a legal obligation where the law requires reporting</w:t>
            </w:r>
          </w:p>
        </w:tc>
      </w:tr>
      <w:tr>
        <w:tc>
          <w:tcPr>
            <w:tcW w:type="dxa" w:w="4873"/>
          </w:tcPr>
          <w:p>
            <w:pPr>
              <w:spacing w:after="40"/>
            </w:pPr>
            <w:r>
              <w:rPr>
                <w:b w:val="0"/>
                <w:i w:val="0"/>
                <w:sz w:val="19"/>
              </w:rPr>
              <w:t>Occupational health, adjustments and sickness management</w:t>
            </w:r>
          </w:p>
        </w:tc>
        <w:tc>
          <w:tcPr>
            <w:tcW w:type="dxa" w:w="4873"/>
          </w:tcPr>
          <w:p>
            <w:pPr>
              <w:spacing w:after="40"/>
            </w:pPr>
            <w:r>
              <w:rPr>
                <w:b w:val="0"/>
                <w:i w:val="0"/>
                <w:sz w:val="19"/>
              </w:rPr>
              <w:t>Employment and social security law, and the assessment of your working capacity</w:t>
            </w:r>
          </w:p>
        </w:tc>
      </w:tr>
    </w:tbl>
    <w:p/>
    <w:p>
      <w:r>
        <w:rPr>
          <w:b w:val="0"/>
          <w:i w:val="0"/>
        </w:rPr>
        <w:t>Where we rely on legitimate interests we have recorded an assessment and you may object; contact us at the channel in section 1.</w:t>
      </w:r>
    </w:p>
    <w:p>
      <w:pPr>
        <w:pStyle w:val="Heading1"/>
      </w:pPr>
      <w:r>
        <w:t>5. Who we share your data with</w:t>
      </w:r>
    </w:p>
    <w:p>
      <w:pPr>
        <w:pStyle w:val="ListBullet"/>
      </w:pPr>
      <w:r>
        <w:rPr>
          <w:b w:val="0"/>
          <w:i w:val="0"/>
        </w:rPr>
        <w:t>Payroll, pension, benefits, HR system, training and occupational health providers, who act on our instructions.</w:t>
      </w:r>
    </w:p>
    <w:p>
      <w:pPr>
        <w:pStyle w:val="ListBullet"/>
      </w:pPr>
      <w:r>
        <w:rPr>
          <w:b w:val="0"/>
          <w:i w:val="0"/>
        </w:rPr>
        <w:t>Tax, social security and other authorities, where the law requires.</w:t>
      </w:r>
    </w:p>
    <w:p>
      <w:pPr>
        <w:pStyle w:val="ListBullet"/>
      </w:pPr>
      <w:r>
        <w:rPr>
          <w:b w:val="0"/>
          <w:i w:val="0"/>
        </w:rPr>
        <w:t>Customers and clients, where a contract requires your name, role and qualifications.</w:t>
      </w:r>
    </w:p>
    <w:p>
      <w:pPr>
        <w:pStyle w:val="ListBullet"/>
      </w:pPr>
      <w:r>
        <w:rPr>
          <w:b w:val="0"/>
          <w:i w:val="0"/>
        </w:rPr>
        <w:t>Prospective employers, for references after you leave, limited to [dates, role and factual statements].</w:t>
      </w:r>
    </w:p>
    <w:p>
      <w:pPr>
        <w:pStyle w:val="ListBullet"/>
      </w:pPr>
      <w:r>
        <w:rPr>
          <w:b w:val="0"/>
          <w:i w:val="0"/>
        </w:rPr>
        <w:t>Professional advisers, insurers and auditors, where needed.</w:t>
      </w:r>
    </w:p>
    <w:p>
      <w:pPr>
        <w:pStyle w:val="ListBullet"/>
      </w:pPr>
      <w:r>
        <w:rPr>
          <w:b w:val="0"/>
          <w:i w:val="0"/>
        </w:rPr>
        <w:t>[Group companies], for [purpose].</w:t>
      </w:r>
    </w:p>
    <w:p>
      <w:pPr>
        <w:pStyle w:val="Heading1"/>
      </w:pPr>
      <w:r>
        <w:t>6. Special category data</w:t>
      </w:r>
    </w:p>
    <w:p>
      <w:r>
        <w:rPr>
          <w:b w:val="0"/>
          <w:i w:val="0"/>
        </w:rPr>
        <w:t>Health data, trade union membership and the equality monitoring data you choose to give are held in a restricted part of the HR system that only the people function and [Privacy Officer] can read. Your manager sees what they need to support you at work, such as adjustments and fitness to work, not medical detail. We never use this data for any purpose other than the ones in section 4.</w:t>
      </w:r>
    </w:p>
    <w:p>
      <w:pPr>
        <w:pStyle w:val="Heading1"/>
      </w:pPr>
      <w:r>
        <w:t>7. Monitoring</w:t>
      </w:r>
    </w:p>
    <w:p>
      <w:r>
        <w:rPr>
          <w:b w:val="0"/>
          <w:i w:val="0"/>
        </w:rPr>
        <w:t xml:space="preserve">We monitor the use of our systems for security, to meet legal duties and to protect our information, as set out in the acceptable use policy. Monitoring covers [email and internet logs, system access logs, device management records, building access records, CCTV in the areas marked]. It is not continuous observation of individuals. Covert monitoring is used only to investigate a suspected serious offence, is authorised at the highest level, and is time-limited. </w:t>
      </w:r>
      <w:r>
        <w:rPr>
          <w:i/>
        </w:rPr>
        <w:t>The monitoring described here must match the approvals recorded under GDPR-PRO-02 step 4.7 and GOV-POL-02.</w:t>
      </w:r>
    </w:p>
    <w:p>
      <w:pPr>
        <w:pStyle w:val="Heading1"/>
      </w:pPr>
      <w:r>
        <w:t>8. Where your data is kept</w:t>
      </w:r>
    </w:p>
    <w:p>
      <w:r>
        <w:rPr>
          <w:b w:val="0"/>
          <w:i w:val="0"/>
        </w:rPr>
        <w:t>Your data is held in [country or region]. Where a provider processes it outside [region], we rely on [named transfer mechanism] and you may ask for a copy of the safeguards.</w:t>
      </w:r>
    </w:p>
    <w:p>
      <w:pPr>
        <w:pStyle w:val="Heading1"/>
      </w:pPr>
      <w:r>
        <w:t>9. How long we keep it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Category</w:t>
            </w:r>
          </w:p>
        </w:tc>
        <w:tc>
          <w:tcPr>
            <w:tcW w:type="dxa" w:w="4873"/>
            <w:shd w:val="clear" w:color="auto" w:fill="EEF3F8"/>
          </w:tcPr>
          <w:p>
            <w:pPr>
              <w:spacing w:after="40"/>
            </w:pPr>
            <w:r>
              <w:rPr>
                <w:b/>
                <w:i w:val="0"/>
                <w:sz w:val="19"/>
              </w:rPr>
              <w:t>Period</w:t>
            </w:r>
          </w:p>
        </w:tc>
      </w:tr>
      <w:tr>
        <w:tc>
          <w:tcPr>
            <w:tcW w:type="dxa" w:w="4873"/>
          </w:tcPr>
          <w:p>
            <w:pPr>
              <w:spacing w:after="40"/>
            </w:pPr>
            <w:r>
              <w:rPr>
                <w:b w:val="0"/>
                <w:i w:val="0"/>
                <w:sz w:val="19"/>
              </w:rPr>
              <w:t>Employee file</w:t>
            </w:r>
          </w:p>
        </w:tc>
        <w:tc>
          <w:tcPr>
            <w:tcW w:type="dxa" w:w="4873"/>
          </w:tcPr>
          <w:p>
            <w:pPr>
              <w:spacing w:after="40"/>
            </w:pPr>
            <w:r>
              <w:rPr>
                <w:b w:val="0"/>
                <w:i w:val="0"/>
                <w:sz w:val="19"/>
              </w:rPr>
              <w:t>[Number] years after you leave</w:t>
            </w:r>
          </w:p>
        </w:tc>
      </w:tr>
      <w:tr>
        <w:tc>
          <w:tcPr>
            <w:tcW w:type="dxa" w:w="4873"/>
          </w:tcPr>
          <w:p>
            <w:pPr>
              <w:spacing w:after="40"/>
            </w:pPr>
            <w:r>
              <w:rPr>
                <w:b w:val="0"/>
                <w:i w:val="0"/>
                <w:sz w:val="19"/>
              </w:rPr>
              <w:t>Payroll and tax records</w:t>
            </w:r>
          </w:p>
        </w:tc>
        <w:tc>
          <w:tcPr>
            <w:tcW w:type="dxa" w:w="4873"/>
          </w:tcPr>
          <w:p>
            <w:pPr>
              <w:spacing w:after="40"/>
            </w:pPr>
            <w:r>
              <w:rPr>
                <w:b w:val="0"/>
                <w:i w:val="0"/>
                <w:sz w:val="19"/>
              </w:rPr>
              <w:t>[Number] years, as the law requires</w:t>
            </w:r>
          </w:p>
        </w:tc>
      </w:tr>
      <w:tr>
        <w:tc>
          <w:tcPr>
            <w:tcW w:type="dxa" w:w="4873"/>
          </w:tcPr>
          <w:p>
            <w:pPr>
              <w:spacing w:after="40"/>
            </w:pPr>
            <w:r>
              <w:rPr>
                <w:b w:val="0"/>
                <w:i w:val="0"/>
                <w:sz w:val="19"/>
              </w:rPr>
              <w:t>Health and safety records</w:t>
            </w:r>
          </w:p>
        </w:tc>
        <w:tc>
          <w:tcPr>
            <w:tcW w:type="dxa" w:w="4873"/>
          </w:tcPr>
          <w:p>
            <w:pPr>
              <w:spacing w:after="40"/>
            </w:pPr>
            <w:r>
              <w:rPr>
                <w:b w:val="0"/>
                <w:i w:val="0"/>
                <w:sz w:val="19"/>
              </w:rPr>
              <w:t>[Number] years, as the law requires</w:t>
            </w:r>
          </w:p>
        </w:tc>
      </w:tr>
      <w:tr>
        <w:tc>
          <w:tcPr>
            <w:tcW w:type="dxa" w:w="4873"/>
          </w:tcPr>
          <w:p>
            <w:pPr>
              <w:spacing w:after="40"/>
            </w:pPr>
            <w:r>
              <w:rPr>
                <w:b w:val="0"/>
                <w:i w:val="0"/>
                <w:sz w:val="19"/>
              </w:rPr>
              <w:t>Disciplinary and grievance records</w:t>
            </w:r>
          </w:p>
        </w:tc>
        <w:tc>
          <w:tcPr>
            <w:tcW w:type="dxa" w:w="4873"/>
          </w:tcPr>
          <w:p>
            <w:pPr>
              <w:spacing w:after="40"/>
            </w:pPr>
            <w:r>
              <w:rPr>
                <w:b w:val="0"/>
                <w:i w:val="0"/>
                <w:sz w:val="19"/>
              </w:rPr>
              <w:t>[Number] years after the matter closes, unless needed for a claim</w:t>
            </w:r>
          </w:p>
        </w:tc>
      </w:tr>
      <w:tr>
        <w:tc>
          <w:tcPr>
            <w:tcW w:type="dxa" w:w="4873"/>
          </w:tcPr>
          <w:p>
            <w:pPr>
              <w:spacing w:after="40"/>
            </w:pPr>
            <w:r>
              <w:rPr>
                <w:b w:val="0"/>
                <w:i w:val="0"/>
                <w:sz w:val="19"/>
              </w:rPr>
              <w:t>Monitoring logs</w:t>
            </w:r>
          </w:p>
        </w:tc>
        <w:tc>
          <w:tcPr>
            <w:tcW w:type="dxa" w:w="4873"/>
          </w:tcPr>
          <w:p>
            <w:pPr>
              <w:spacing w:after="40"/>
            </w:pPr>
            <w:r>
              <w:rPr>
                <w:b w:val="0"/>
                <w:i w:val="0"/>
                <w:sz w:val="19"/>
              </w:rPr>
              <w:t>[Number] months, unless part of an investigation</w:t>
            </w:r>
          </w:p>
        </w:tc>
      </w:tr>
      <w:tr>
        <w:tc>
          <w:tcPr>
            <w:tcW w:type="dxa" w:w="4873"/>
          </w:tcPr>
          <w:p>
            <w:pPr>
              <w:spacing w:after="40"/>
            </w:pPr>
            <w:r>
              <w:rPr>
                <w:b w:val="0"/>
                <w:i w:val="0"/>
                <w:sz w:val="19"/>
              </w:rPr>
              <w:t>Equality monitoring data</w:t>
            </w:r>
          </w:p>
        </w:tc>
        <w:tc>
          <w:tcPr>
            <w:tcW w:type="dxa" w:w="4873"/>
          </w:tcPr>
          <w:p>
            <w:pPr>
              <w:spacing w:after="40"/>
            </w:pPr>
            <w:r>
              <w:rPr>
                <w:b w:val="0"/>
                <w:i w:val="0"/>
                <w:sz w:val="19"/>
              </w:rPr>
              <w:t>Anonymised within [Number] months of collection</w:t>
            </w:r>
          </w:p>
        </w:tc>
      </w:tr>
    </w:tbl>
    <w:p/>
    <w:p>
      <w:pPr>
        <w:pStyle w:val="Heading1"/>
      </w:pPr>
      <w:r>
        <w:t>10. Your rights</w:t>
      </w:r>
    </w:p>
    <w:p>
      <w:r>
        <w:rPr>
          <w:b w:val="0"/>
          <w:i w:val="0"/>
        </w:rPr>
        <w:t>You may ask for access to your data, correct it, ask for deletion where we no longer need it, restrict or object to some uses, and withdraw any consent you gave. Contact [channel]. We respond within one month. You may complain to [supervisory authority] at any time.</w:t>
      </w:r>
    </w:p>
    <w:p>
      <w:pPr>
        <w:pStyle w:val="Heading1"/>
      </w:pPr>
      <w:r>
        <w:t>11. Your obligations</w:t>
      </w:r>
    </w:p>
    <w:p>
      <w:r>
        <w:rPr>
          <w:b w:val="0"/>
          <w:i w:val="0"/>
        </w:rPr>
        <w:t>You must keep your personal details current in [HR system], treat colleagues' data in line with GDPR-POL-01, and report any suspected breach at once.</w:t>
      </w:r>
    </w:p>
    <w:p>
      <w:pPr>
        <w:pStyle w:val="Heading1"/>
      </w:pPr>
      <w:r>
        <w:t>12. Changes</w:t>
      </w:r>
    </w:p>
    <w:p>
      <w:r>
        <w:rPr>
          <w:b w:val="0"/>
          <w:i w:val="0"/>
        </w:rPr>
        <w:t>We will tell you by [channel] before any change that affects how we use your data. Version [Number], effective [Date].</w:t>
      </w:r>
    </w:p>
    <w:p>
      <w:pPr>
        <w:pStyle w:val="Heading1"/>
      </w:pPr>
      <w:r>
        <w:t>13. Related documents</w:t>
      </w:r>
    </w:p>
    <w:p>
      <w:pPr>
        <w:pStyle w:val="ListBullet"/>
      </w:pPr>
      <w:r>
        <w:rPr>
          <w:b w:val="0"/>
          <w:i w:val="0"/>
        </w:rPr>
        <w:t>GDPR-PRO-02 HR data handling procedure</w:t>
      </w:r>
    </w:p>
    <w:p>
      <w:pPr>
        <w:pStyle w:val="ListBullet"/>
      </w:pPr>
      <w:r>
        <w:rPr>
          <w:b w:val="0"/>
          <w:i w:val="0"/>
        </w:rPr>
        <w:t>GDPR-POL-01 Data protection policy</w:t>
      </w:r>
    </w:p>
    <w:p>
      <w:pPr>
        <w:pStyle w:val="ListBullet"/>
      </w:pPr>
      <w:r>
        <w:rPr>
          <w:b w:val="0"/>
          <w:i w:val="0"/>
        </w:rPr>
        <w:t>GOV-POL-02 Acceptable use policy</w:t>
      </w:r>
    </w:p>
    <w:p>
      <w:pPr>
        <w:pStyle w:val="ListBullet"/>
      </w:pPr>
      <w:r>
        <w:rPr>
          <w:b w:val="0"/>
          <w:i w:val="0"/>
        </w:rPr>
        <w:t>PIMS-REG-01 Personal data processing inventory</w:t>
      </w:r>
    </w:p>
    <w:p>
      <w:pPr>
        <w:pStyle w:val="ListBullet"/>
      </w:pPr>
      <w:r>
        <w:rPr>
          <w:b w:val="0"/>
          <w:i w:val="0"/>
        </w:rPr>
        <w:t>PIMS-REG-07 Retention schedule</w:t>
      </w:r>
    </w:p>
    <w:p>
      <w:pPr>
        <w:pStyle w:val="ListBullet"/>
      </w:pPr>
      <w:r>
        <w:rPr>
          <w:b w:val="0"/>
          <w:i w:val="0"/>
        </w:rPr>
        <w:t>PIMS-PRO-03 Data subject rights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GDPR-TPL-02  |  Employee privacy notice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