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PIMS-PRO-03</w:t>
      </w:r>
    </w:p>
    <w:p>
      <w:r>
        <w:rPr>
          <w:b/>
          <w:color w:val="0B2D4D"/>
          <w:sz w:val="44"/>
        </w:rPr>
        <w:t>Data subject rights handling procedure</w:t>
      </w:r>
    </w:p>
    <w:p>
      <w:r>
        <w:rPr>
          <w:i/>
          <w:color w:val="526478"/>
        </w:rPr>
        <w:t>How a request from an individual about their personal data is received, verified, logged, answered within one month and recorded, right by right, including when a request may be refused and what [Organisation] does when it is a processor.</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PIMS-PRO-03</w:t>
            </w:r>
          </w:p>
        </w:tc>
      </w:tr>
      <w:tr>
        <w:tc>
          <w:tcPr>
            <w:tcW w:type="dxa" w:w="2551"/>
            <w:shd w:val="clear" w:color="auto" w:fill="EEF3F8"/>
          </w:tcPr>
          <w:p>
            <w:pPr>
              <w:spacing w:after="40"/>
            </w:pPr>
            <w:r>
              <w:rPr>
                <w:b/>
                <w:sz w:val="19"/>
              </w:rPr>
              <w:t>Title</w:t>
            </w:r>
          </w:p>
        </w:tc>
        <w:tc>
          <w:tcPr>
            <w:tcW w:type="dxa" w:w="6803"/>
          </w:tcPr>
          <w:p>
            <w:pPr>
              <w:spacing w:after="40"/>
            </w:pPr>
            <w:r>
              <w:rPr>
                <w:sz w:val="19"/>
              </w:rPr>
              <w:t>Data subject rights handling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ISO/IEC 27701</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27701 clause 7.3.1; ISO/IEC 27701 clause 7.3.6; ISO/IEC 27701 clause 7.3.9; ISO/IEC 27701 clause 8.3.1; ISO/IEC 27701 Annex A 7.3.5; ISO/IEC 27701 Annex A 7.3.6; ISO/IEC 27701 Annex A 7.3.7; ISO/IEC 27701 Annex A 7.3.8; ISO/IEC 27701 Annex A 7.3.9; ISO/IEC 27701 Annex A 7.3.10; ISO/IEC 27701 Annex B 8.3.1; GDPR Article 12; GDPR Article 15; GDPR Article 16; GDPR Article 17; GDPR Article 18; GDPR Article 20; GDPR Article 21; GDPR Article 22</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gets every request from an individual answered correctly and on time, by named people following the same steps, so that individuals get what the law gives them and [Organisation] can prove it.</w:t>
      </w:r>
    </w:p>
    <w:p>
      <w:pPr>
        <w:pStyle w:val="Heading1"/>
      </w:pPr>
      <w:r>
        <w:t>2. Scope</w:t>
      </w:r>
    </w:p>
    <w:p>
      <w:r>
        <w:rPr>
          <w:b w:val="0"/>
          <w:i w:val="0"/>
        </w:rPr>
        <w:t>It applies to every request, however phrased and through whatever channel, in which an individual asks about or wants something done with personal data that [Organisation] holds about them as a controller: access, rectification, erasure, restriction, portability, objection, review of an automated decision and withdrawal of consent. It also sets what [Organisation] does with a request it receives as a processor.</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All staff</w:t>
            </w:r>
          </w:p>
        </w:tc>
        <w:tc>
          <w:tcPr>
            <w:tcW w:type="dxa" w:w="4873"/>
          </w:tcPr>
          <w:p>
            <w:pPr>
              <w:spacing w:after="40"/>
            </w:pPr>
            <w:r>
              <w:rPr>
                <w:b w:val="0"/>
                <w:i w:val="0"/>
                <w:sz w:val="19"/>
              </w:rPr>
              <w:t>Recognise a request in any form, forward it to the privacy mailbox the same working day, and never answer it themselves.</w:t>
            </w:r>
          </w:p>
        </w:tc>
      </w:tr>
      <w:tr>
        <w:tc>
          <w:tcPr>
            <w:tcW w:type="dxa" w:w="4873"/>
          </w:tcPr>
          <w:p>
            <w:pPr>
              <w:spacing w:after="40"/>
            </w:pPr>
            <w:r>
              <w:rPr>
                <w:b w:val="0"/>
                <w:i w:val="0"/>
                <w:sz w:val="19"/>
              </w:rPr>
              <w:t>Request handler</w:t>
            </w:r>
          </w:p>
        </w:tc>
        <w:tc>
          <w:tcPr>
            <w:tcW w:type="dxa" w:w="4873"/>
          </w:tcPr>
          <w:p>
            <w:pPr>
              <w:spacing w:after="40"/>
            </w:pPr>
            <w:r>
              <w:rPr>
                <w:b w:val="0"/>
                <w:i w:val="0"/>
                <w:sz w:val="19"/>
              </w:rPr>
              <w:t>A person trained for the role and named by the Privacy Officer. Logs, verifies, coordinates, drafts and sends the response, and keeps PIMS-REG-02 current.</w:t>
            </w:r>
          </w:p>
        </w:tc>
      </w:tr>
      <w:tr>
        <w:tc>
          <w:tcPr>
            <w:tcW w:type="dxa" w:w="4873"/>
          </w:tcPr>
          <w:p>
            <w:pPr>
              <w:spacing w:after="40"/>
            </w:pPr>
            <w:r>
              <w:rPr>
                <w:b w:val="0"/>
                <w:i w:val="0"/>
                <w:sz w:val="19"/>
              </w:rPr>
              <w:t>Privacy Officer</w:t>
            </w:r>
          </w:p>
        </w:tc>
        <w:tc>
          <w:tcPr>
            <w:tcW w:type="dxa" w:w="4873"/>
          </w:tcPr>
          <w:p>
            <w:pPr>
              <w:spacing w:after="40"/>
            </w:pPr>
            <w:r>
              <w:rPr>
                <w:b w:val="0"/>
                <w:i w:val="0"/>
                <w:sz w:val="19"/>
              </w:rPr>
              <w:t>Decides extensions, refusals, fees, complex scope questions and disputes; reviews every refusal before it is sent.</w:t>
            </w:r>
          </w:p>
        </w:tc>
      </w:tr>
      <w:tr>
        <w:tc>
          <w:tcPr>
            <w:tcW w:type="dxa" w:w="4873"/>
          </w:tcPr>
          <w:p>
            <w:pPr>
              <w:spacing w:after="40"/>
            </w:pPr>
            <w:r>
              <w:rPr>
                <w:b w:val="0"/>
                <w:i w:val="0"/>
                <w:sz w:val="19"/>
              </w:rPr>
              <w:t>System Owner</w:t>
            </w:r>
          </w:p>
        </w:tc>
        <w:tc>
          <w:tcPr>
            <w:tcW w:type="dxa" w:w="4873"/>
          </w:tcPr>
          <w:p>
            <w:pPr>
              <w:spacing w:after="40"/>
            </w:pPr>
            <w:r>
              <w:rPr>
                <w:b w:val="0"/>
                <w:i w:val="0"/>
                <w:sz w:val="19"/>
              </w:rPr>
              <w:t>Searches their system, extracts, corrects, restricts or deletes within the time the handler sets, and confirms in writing.</w:t>
            </w:r>
          </w:p>
        </w:tc>
      </w:tr>
      <w:tr>
        <w:tc>
          <w:tcPr>
            <w:tcW w:type="dxa" w:w="4873"/>
          </w:tcPr>
          <w:p>
            <w:pPr>
              <w:spacing w:after="40"/>
            </w:pPr>
            <w:r>
              <w:rPr>
                <w:b w:val="0"/>
                <w:i w:val="0"/>
                <w:sz w:val="19"/>
              </w:rPr>
              <w:t>Processor</w:t>
            </w:r>
          </w:p>
        </w:tc>
        <w:tc>
          <w:tcPr>
            <w:tcW w:type="dxa" w:w="4873"/>
          </w:tcPr>
          <w:p>
            <w:pPr>
              <w:spacing w:after="40"/>
            </w:pPr>
            <w:r>
              <w:rPr>
                <w:b w:val="0"/>
                <w:i w:val="0"/>
                <w:sz w:val="19"/>
              </w:rPr>
              <w:t>Assists within the time in its agreement and does not answer the individual directly.</w:t>
            </w:r>
          </w:p>
        </w:tc>
      </w:tr>
    </w:tbl>
    <w:p/>
    <w:p>
      <w:pPr>
        <w:pStyle w:val="Heading1"/>
      </w:pPr>
      <w:r>
        <w:t>4. Procedure</w:t>
      </w:r>
    </w:p>
    <w:p>
      <w:r>
        <w:rPr>
          <w:b w:val="0"/>
          <w:i w:val="0"/>
        </w:rPr>
        <w:t xml:space="preserve">4.1 </w:t>
      </w:r>
      <w:r>
        <w:rPr>
          <w:b/>
        </w:rPr>
        <w:t>Intake.</w:t>
      </w:r>
      <w:r>
        <w:rPr>
          <w:b w:val="0"/>
          <w:i w:val="0"/>
        </w:rPr>
        <w:t xml:space="preserve"> Requests arrive through the privacy mailbox and web form published in the notice, by post, through customer support, through account managers, through Human Resources, or verbally to any employee. Every channel counts. A request made verbally is written down by the person who received it, with the date, and confirmed back to the individual. A request does not have to cite the law or use any particular words.</w:t>
      </w:r>
    </w:p>
    <w:p>
      <w:r>
        <w:rPr>
          <w:b w:val="0"/>
          <w:i w:val="0"/>
        </w:rPr>
        <w:t xml:space="preserve">4.2 </w:t>
      </w:r>
      <w:r>
        <w:rPr>
          <w:b/>
        </w:rPr>
        <w:t>Logging.</w:t>
      </w:r>
      <w:r>
        <w:rPr>
          <w:b w:val="0"/>
          <w:i w:val="0"/>
        </w:rPr>
        <w:t xml:space="preserve"> The request handler records the request in PIMS-REG-02 within one working day of receipt: date received, channel, requester type, the rights exercised, and the clock start. The one month period runs from the day of receipt and ends on the same date of the following month, or the last day of that month if there is no such date.</w:t>
      </w:r>
    </w:p>
    <w:p>
      <w:r>
        <w:rPr>
          <w:b w:val="0"/>
          <w:i w:val="0"/>
        </w:rPr>
        <w:t xml:space="preserve">4.3 </w:t>
      </w:r>
      <w:r>
        <w:rPr>
          <w:b/>
        </w:rPr>
        <w:t>Identity verification.</w:t>
      </w:r>
      <w:r>
        <w:rPr>
          <w:b w:val="0"/>
          <w:i w:val="0"/>
        </w:rPr>
        <w:t xml:space="preserve"> The handler confirms identity in proportion to the sensitivity of the data. Where the individual writes from the contact details held on their account, or is signed in to their account, no further proof is requested. Otherwise the handler asks, within three working days and using the GDPR-TPL-05 verification letter, for the minimum extra information that confirms identity, and records in PIMS-REG-02 the date it arrives; the period then runs from that date. Identity documents received are deleted once checked. A request made by a representative is honoured only with written authority from the individual.</w:t>
      </w:r>
    </w:p>
    <w:p>
      <w:r>
        <w:rPr>
          <w:b w:val="0"/>
          <w:i w:val="0"/>
        </w:rPr>
        <w:t xml:space="preserve">4.4 </w:t>
      </w:r>
      <w:r>
        <w:rPr>
          <w:b/>
        </w:rPr>
        <w:t>Acknowledgement and scope.</w:t>
      </w:r>
      <w:r>
        <w:rPr>
          <w:b w:val="0"/>
          <w:i w:val="0"/>
        </w:rPr>
        <w:t xml:space="preserve"> Within three working days of logging, the handler sends the GDPR-TPL-05 acknowledgement with the expected response date. Where the request is broad, the handler may ask the individual to clarify what they want, without stopping the clock; if no answer arrives within ten working days the handler responds to the request as reasonably understood.</w:t>
      </w:r>
    </w:p>
    <w:p>
      <w:r>
        <w:rPr>
          <w:b w:val="0"/>
          <w:i w:val="0"/>
        </w:rPr>
        <w:t xml:space="preserve">4.5 </w:t>
      </w:r>
      <w:r>
        <w:rPr>
          <w:b/>
        </w:rPr>
        <w:t>Extension.</w:t>
      </w:r>
      <w:r>
        <w:rPr>
          <w:b w:val="0"/>
          <w:i w:val="0"/>
        </w:rPr>
        <w:t xml:space="preserve"> Where the request is complex or the individual has made several, the Privacy Officer may extend the period by up to two further months. The extension and its reasons are sent to the individual before the first month ends, using the GDPR-TPL-05 extension letter, and are recorded in PIMS-REG-02.</w:t>
      </w:r>
    </w:p>
    <w:p>
      <w:r>
        <w:rPr>
          <w:b w:val="0"/>
          <w:i w:val="0"/>
        </w:rPr>
        <w:t xml:space="preserve">4.6 </w:t>
      </w:r>
      <w:r>
        <w:rPr>
          <w:b/>
        </w:rPr>
        <w:t>Locating the data.</w:t>
      </w:r>
      <w:r>
        <w:rPr>
          <w:b w:val="0"/>
          <w:i w:val="0"/>
        </w:rPr>
        <w:t xml:space="preserve"> The handler identifies every system and processor that may hold the individual's data from PIMS-REG-01 and PIMS-REG-06, instructs each System Owner and processor in writing with a deadline of no more than ten working days, and records the confirmations. Searches cover primary systems, support tools, email and messaging where the individual is a subject, derived data, and backups where restorable within the period.</w:t>
      </w:r>
    </w:p>
    <w:p>
      <w:r>
        <w:rPr>
          <w:b w:val="0"/>
          <w:i w:val="0"/>
        </w:rPr>
        <w:t xml:space="preserve">4.7 </w:t>
      </w:r>
      <w:r>
        <w:rPr>
          <w:b/>
        </w:rPr>
        <w:t>Handling each right.</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Right</w:t>
            </w:r>
          </w:p>
        </w:tc>
        <w:tc>
          <w:tcPr>
            <w:tcW w:type="dxa" w:w="4873"/>
            <w:shd w:val="clear" w:color="auto" w:fill="EEF3F8"/>
          </w:tcPr>
          <w:p>
            <w:pPr>
              <w:spacing w:after="40"/>
            </w:pPr>
            <w:r>
              <w:rPr>
                <w:b/>
                <w:i w:val="0"/>
                <w:sz w:val="19"/>
              </w:rPr>
              <w:t>What the handler does</w:t>
            </w:r>
          </w:p>
        </w:tc>
      </w:tr>
      <w:tr>
        <w:tc>
          <w:tcPr>
            <w:tcW w:type="dxa" w:w="4873"/>
          </w:tcPr>
          <w:p>
            <w:pPr>
              <w:spacing w:after="40"/>
            </w:pPr>
            <w:r>
              <w:rPr>
                <w:b w:val="0"/>
                <w:i w:val="0"/>
                <w:sz w:val="19"/>
              </w:rPr>
              <w:t>Access</w:t>
            </w:r>
          </w:p>
        </w:tc>
        <w:tc>
          <w:tcPr>
            <w:tcW w:type="dxa" w:w="4873"/>
          </w:tcPr>
          <w:p>
            <w:pPr>
              <w:spacing w:after="40"/>
            </w:pPr>
            <w:r>
              <w:rPr>
                <w:b w:val="0"/>
                <w:i w:val="0"/>
                <w:sz w:val="19"/>
              </w:rPr>
              <w:t>Collates the data, removes or redacts other people's data and material covered by an exemption, and provides a copy together with the purposes, categories, recipients, retention, source, the existence of automated decision making and its logic, the right to complain and the other rights. Delivered securely in a commonly used electronic format, or through the account portal where one exists.</w:t>
            </w:r>
          </w:p>
        </w:tc>
      </w:tr>
      <w:tr>
        <w:tc>
          <w:tcPr>
            <w:tcW w:type="dxa" w:w="4873"/>
          </w:tcPr>
          <w:p>
            <w:pPr>
              <w:spacing w:after="40"/>
            </w:pPr>
            <w:r>
              <w:rPr>
                <w:b w:val="0"/>
                <w:i w:val="0"/>
                <w:sz w:val="19"/>
              </w:rPr>
              <w:t>Rectification</w:t>
            </w:r>
          </w:p>
        </w:tc>
        <w:tc>
          <w:tcPr>
            <w:tcW w:type="dxa" w:w="4873"/>
          </w:tcPr>
          <w:p>
            <w:pPr>
              <w:spacing w:after="40"/>
            </w:pPr>
            <w:r>
              <w:rPr>
                <w:b w:val="0"/>
                <w:i w:val="0"/>
                <w:sz w:val="19"/>
              </w:rPr>
              <w:t>Checks the correction against evidence where accuracy matters, applies it in every system within five working days, tells every recipient the data was shared with, and confirms to the individual. Disputed accuracy is recorded alongside the data until resolved.</w:t>
            </w:r>
          </w:p>
        </w:tc>
      </w:tr>
      <w:tr>
        <w:tc>
          <w:tcPr>
            <w:tcW w:type="dxa" w:w="4873"/>
          </w:tcPr>
          <w:p>
            <w:pPr>
              <w:spacing w:after="40"/>
            </w:pPr>
            <w:r>
              <w:rPr>
                <w:b w:val="0"/>
                <w:i w:val="0"/>
                <w:sz w:val="19"/>
              </w:rPr>
              <w:t>Erasure</w:t>
            </w:r>
          </w:p>
        </w:tc>
        <w:tc>
          <w:tcPr>
            <w:tcW w:type="dxa" w:w="4873"/>
          </w:tcPr>
          <w:p>
            <w:pPr>
              <w:spacing w:after="40"/>
            </w:pPr>
            <w:r>
              <w:rPr>
                <w:b w:val="0"/>
                <w:i w:val="0"/>
                <w:sz w:val="19"/>
              </w:rPr>
              <w:t>Confirms a ground applies (purpose ended, consent withdrawn, objection upheld, unlawful processing, legal obligation, child's data from an online service), checks no exemption applies (legal obligation to retain, legal claims, freedom of expression, public interest), then deletes or anonymises across primary systems, derived data and processors under PIMS-POL-02, records that backup copies expire within their cycle, informs recipients, and confirms to the individual.</w:t>
            </w:r>
          </w:p>
        </w:tc>
      </w:tr>
      <w:tr>
        <w:tc>
          <w:tcPr>
            <w:tcW w:type="dxa" w:w="4873"/>
          </w:tcPr>
          <w:p>
            <w:pPr>
              <w:spacing w:after="40"/>
            </w:pPr>
            <w:r>
              <w:rPr>
                <w:b w:val="0"/>
                <w:i w:val="0"/>
                <w:sz w:val="19"/>
              </w:rPr>
              <w:t>Restriction</w:t>
            </w:r>
          </w:p>
        </w:tc>
        <w:tc>
          <w:tcPr>
            <w:tcW w:type="dxa" w:w="4873"/>
          </w:tcPr>
          <w:p>
            <w:pPr>
              <w:spacing w:after="40"/>
            </w:pPr>
            <w:r>
              <w:rPr>
                <w:b w:val="0"/>
                <w:i w:val="0"/>
                <w:sz w:val="19"/>
              </w:rPr>
              <w:t>Marks the data so that it is stored but not otherwise processed, in every system, for as long as the ground applies (accuracy contested, processing unlawful but erasure declined, data needed for legal claims, objection pending), tells recipients, and informs the individual before lifting the restriction.</w:t>
            </w:r>
          </w:p>
        </w:tc>
      </w:tr>
      <w:tr>
        <w:tc>
          <w:tcPr>
            <w:tcW w:type="dxa" w:w="4873"/>
          </w:tcPr>
          <w:p>
            <w:pPr>
              <w:spacing w:after="40"/>
            </w:pPr>
            <w:r>
              <w:rPr>
                <w:b w:val="0"/>
                <w:i w:val="0"/>
                <w:sz w:val="19"/>
              </w:rPr>
              <w:t>Portability</w:t>
            </w:r>
          </w:p>
        </w:tc>
        <w:tc>
          <w:tcPr>
            <w:tcW w:type="dxa" w:w="4873"/>
          </w:tcPr>
          <w:p>
            <w:pPr>
              <w:spacing w:after="40"/>
            </w:pPr>
            <w:r>
              <w:rPr>
                <w:b w:val="0"/>
                <w:i w:val="0"/>
                <w:sz w:val="19"/>
              </w:rPr>
              <w:t>Where the data was provided by the individual and processed by automated means on the basis of consent or contract, exports it in a structured, commonly used and machine-readable format, and transmits it directly to another controller where technically feasible and requested.</w:t>
            </w:r>
          </w:p>
        </w:tc>
      </w:tr>
      <w:tr>
        <w:tc>
          <w:tcPr>
            <w:tcW w:type="dxa" w:w="4873"/>
          </w:tcPr>
          <w:p>
            <w:pPr>
              <w:spacing w:after="40"/>
            </w:pPr>
            <w:r>
              <w:rPr>
                <w:b w:val="0"/>
                <w:i w:val="0"/>
                <w:sz w:val="19"/>
              </w:rPr>
              <w:t>Objection</w:t>
            </w:r>
          </w:p>
        </w:tc>
        <w:tc>
          <w:tcPr>
            <w:tcW w:type="dxa" w:w="4873"/>
          </w:tcPr>
          <w:p>
            <w:pPr>
              <w:spacing w:after="40"/>
            </w:pPr>
            <w:r>
              <w:rPr>
                <w:b w:val="0"/>
                <w:i w:val="0"/>
                <w:sz w:val="19"/>
              </w:rPr>
              <w:t>For direct marketing, stops the processing without exception and records the suppression. For processing based on legitimate interests or public task, stops unless the Privacy Officer records compelling grounds that override the individual's interests, using GDPR-TPL-07, and tells the individual the outcome with reasons.</w:t>
            </w:r>
          </w:p>
        </w:tc>
      </w:tr>
      <w:tr>
        <w:tc>
          <w:tcPr>
            <w:tcW w:type="dxa" w:w="4873"/>
          </w:tcPr>
          <w:p>
            <w:pPr>
              <w:spacing w:after="40"/>
            </w:pPr>
            <w:r>
              <w:rPr>
                <w:b w:val="0"/>
                <w:i w:val="0"/>
                <w:sz w:val="19"/>
              </w:rPr>
              <w:t>Automated decisions</w:t>
            </w:r>
          </w:p>
        </w:tc>
        <w:tc>
          <w:tcPr>
            <w:tcW w:type="dxa" w:w="4873"/>
          </w:tcPr>
          <w:p>
            <w:pPr>
              <w:spacing w:after="40"/>
            </w:pPr>
            <w:r>
              <w:rPr>
                <w:b w:val="0"/>
                <w:i w:val="0"/>
                <w:sz w:val="19"/>
              </w:rPr>
              <w:t>Where a decision with legal or similarly significant effect was made solely by automated means, arranges a review of the decision by a competent person, explains the logic and the main factors in plain words, lets the individual put their point of view, and records the reviewed decision.</w:t>
            </w:r>
          </w:p>
        </w:tc>
      </w:tr>
      <w:tr>
        <w:tc>
          <w:tcPr>
            <w:tcW w:type="dxa" w:w="4873"/>
          </w:tcPr>
          <w:p>
            <w:pPr>
              <w:spacing w:after="40"/>
            </w:pPr>
            <w:r>
              <w:rPr>
                <w:b w:val="0"/>
                <w:i w:val="0"/>
                <w:sz w:val="19"/>
              </w:rPr>
              <w:t>Withdrawal of consent</w:t>
            </w:r>
          </w:p>
        </w:tc>
        <w:tc>
          <w:tcPr>
            <w:tcW w:type="dxa" w:w="4873"/>
          </w:tcPr>
          <w:p>
            <w:pPr>
              <w:spacing w:after="40"/>
            </w:pPr>
            <w:r>
              <w:rPr>
                <w:b w:val="0"/>
                <w:i w:val="0"/>
                <w:sz w:val="19"/>
              </w:rPr>
              <w:t>Actions the withdrawal under PIMS-PRO-05 step 4.5 and confirms it, without affecting processing that took place before.</w:t>
            </w:r>
          </w:p>
        </w:tc>
      </w:tr>
    </w:tbl>
    <w:p/>
    <w:p>
      <w:r>
        <w:rPr>
          <w:b w:val="0"/>
          <w:i w:val="0"/>
        </w:rPr>
        <w:t xml:space="preserve">4.8 </w:t>
      </w:r>
      <w:r>
        <w:rPr>
          <w:b/>
        </w:rPr>
        <w:t>Refusal and limitation.</w:t>
      </w:r>
      <w:r>
        <w:rPr>
          <w:b w:val="0"/>
          <w:i w:val="0"/>
        </w:rPr>
        <w:t xml:space="preserve"> A request is refused or limited only on a ground the Privacy Officer confirms in writing: the request is manifestly unfounded or excessive, in particular because it repeats a recent request; the data is covered by an exemption in the law recorded in GOV-REG-04; or disclosure would adversely affect the rights of another person. The refusal letter in GDPR-TPL-05 states the reasons, the right to complain to the supervisory authority and the right to seek a judicial remedy, and is sent within the period. A partial refusal still answers the rest of the request.</w:t>
      </w:r>
    </w:p>
    <w:p>
      <w:r>
        <w:rPr>
          <w:b w:val="0"/>
          <w:i w:val="0"/>
        </w:rPr>
        <w:t xml:space="preserve">4.9 </w:t>
      </w:r>
      <w:r>
        <w:rPr>
          <w:b/>
        </w:rPr>
        <w:t>Fees.</w:t>
      </w:r>
      <w:r>
        <w:rPr>
          <w:b w:val="0"/>
          <w:i w:val="0"/>
        </w:rPr>
        <w:t xml:space="preserve"> Responses are free. A reasonable fee covering administrative cost is charged only for further copies or for a request the Privacy Officer has recorded as manifestly unfounded or excessive, and the individual is told the fee before work continues.</w:t>
      </w:r>
    </w:p>
    <w:p>
      <w:r>
        <w:rPr>
          <w:b w:val="0"/>
          <w:i w:val="0"/>
        </w:rPr>
        <w:t xml:space="preserve">4.10 </w:t>
      </w:r>
      <w:r>
        <w:rPr>
          <w:b/>
        </w:rPr>
        <w:t>Response.</w:t>
      </w:r>
      <w:r>
        <w:rPr>
          <w:b w:val="0"/>
          <w:i w:val="0"/>
        </w:rPr>
        <w:t xml:space="preserve"> The handler sends the response using the GDPR-TPL-05 response letter through a channel that matches the sensitivity of the content: the account portal, encrypted file transfer or password-protected archive with the password sent separately. Paper responses go by tracked post. The response is written in plain language and, where the individual is a child, in language a child can understand.</w:t>
      </w:r>
    </w:p>
    <w:p>
      <w:r>
        <w:rPr>
          <w:b w:val="0"/>
          <w:i w:val="0"/>
        </w:rPr>
        <w:t xml:space="preserve">4.11 </w:t>
      </w:r>
      <w:r>
        <w:rPr>
          <w:b/>
        </w:rPr>
        <w:t>Requests received as a processor.</w:t>
      </w:r>
      <w:r>
        <w:rPr>
          <w:b w:val="0"/>
          <w:i w:val="0"/>
        </w:rPr>
        <w:t xml:space="preserve"> Where the request concerns data [Organisation] processes for a client, the handler forwards it to the client within two working days, tells the individual that it has been passed to the controller, takes no other action unless the client instructs it, and records it in PIMS-REG-02 with the client named. Assistance requested by the client is provided within the time in the agreement.</w:t>
      </w:r>
    </w:p>
    <w:p>
      <w:r>
        <w:rPr>
          <w:b w:val="0"/>
          <w:i w:val="0"/>
        </w:rPr>
        <w:t xml:space="preserve">4.12 </w:t>
      </w:r>
      <w:r>
        <w:rPr>
          <w:b/>
        </w:rPr>
        <w:t>Closure and records.</w:t>
      </w:r>
      <w:r>
        <w:rPr>
          <w:b w:val="0"/>
          <w:i w:val="0"/>
        </w:rPr>
        <w:t xml:space="preserve"> The handler records in PIMS-REG-02 the outcome, the date closed and whether the deadline was met, and files the correspondence and the search confirmations with the request. Request records are retained for the period in PIMS-REG-07. A complaint about the handling is recorded and reviewed by the Privacy Officer within five working days.</w:t>
      </w:r>
    </w:p>
    <w:p>
      <w:r>
        <w:rPr>
          <w:b w:val="0"/>
          <w:i w:val="0"/>
        </w:rPr>
        <w:t xml:space="preserve">4.13 </w:t>
      </w:r>
      <w:r>
        <w:rPr>
          <w:b/>
        </w:rPr>
        <w:t>Monitoring.</w:t>
      </w:r>
      <w:r>
        <w:rPr>
          <w:b w:val="0"/>
          <w:i w:val="0"/>
        </w:rPr>
        <w:t xml:space="preserve"> The Privacy Officer reports the number of requests, the proportion answered on time, extensions, refusals and complaints quarterly under PIMS-PRO-07. Two late responses in a quarter raise a corrective action in GOV-REG-03.</w:t>
      </w:r>
    </w:p>
    <w:p>
      <w:pPr>
        <w:pStyle w:val="Heading1"/>
      </w:pPr>
      <w:r>
        <w:t>5. Records and evidence</w:t>
      </w:r>
    </w:p>
    <w:p>
      <w:pPr>
        <w:pStyle w:val="ListBullet"/>
      </w:pPr>
      <w:r>
        <w:rPr>
          <w:b w:val="0"/>
          <w:i w:val="0"/>
        </w:rPr>
        <w:t>PIMS-REG-02 Data subject request register: every request with dates, rights, handler, outcome and timeliness.</w:t>
      </w:r>
    </w:p>
    <w:p>
      <w:pPr>
        <w:pStyle w:val="ListBullet"/>
      </w:pPr>
      <w:r>
        <w:rPr>
          <w:b w:val="0"/>
          <w:i w:val="0"/>
        </w:rPr>
        <w:t>The correspondence for each request, including GDPR-TPL-05 letters sent and identity verification records.</w:t>
      </w:r>
    </w:p>
    <w:p>
      <w:pPr>
        <w:pStyle w:val="ListBullet"/>
      </w:pPr>
      <w:r>
        <w:rPr>
          <w:b w:val="0"/>
          <w:i w:val="0"/>
        </w:rPr>
        <w:t>Written confirmations from System Owners and processors for each search, correction, restriction or deletion.</w:t>
      </w:r>
    </w:p>
    <w:p>
      <w:pPr>
        <w:pStyle w:val="ListBullet"/>
      </w:pPr>
      <w:r>
        <w:rPr>
          <w:b w:val="0"/>
          <w:i w:val="0"/>
        </w:rPr>
        <w:t>Privacy Officer decisions on extensions, refusals, fees and objections, with reasons.</w:t>
      </w:r>
    </w:p>
    <w:p>
      <w:pPr>
        <w:pStyle w:val="Heading1"/>
      </w:pPr>
      <w:r>
        <w:t>6. Exceptions</w:t>
      </w:r>
    </w:p>
    <w:p>
      <w:r>
        <w:rPr>
          <w:b w:val="0"/>
          <w:i w:val="0"/>
        </w:rPr>
        <w:t>Where a search cannot be completed within the extended period because data is held in an archive that cannot be restored in time, the handler provides everything found, states what remains outstanding and when it will follow, and the Privacy Officer records the case. No other exception applies.</w:t>
      </w:r>
    </w:p>
    <w:p>
      <w:pPr>
        <w:pStyle w:val="Heading1"/>
      </w:pPr>
      <w:r>
        <w:t>7. Review and maintenance</w:t>
      </w:r>
    </w:p>
    <w:p>
      <w:r>
        <w:rPr>
          <w:b w:val="0"/>
          <w:i w:val="0"/>
        </w:rPr>
        <w:t>The Privacy Officer reviews this procedure annually, after any complaint to a supervisory authority about request handling, after a change in law or authority guidance on rights, and after a new system or processor changes where personal data is held. Changes follow GOV-PRO-01.</w:t>
      </w:r>
    </w:p>
    <w:p>
      <w:pPr>
        <w:pStyle w:val="Heading1"/>
      </w:pPr>
      <w:r>
        <w:t>8. Related documents</w:t>
      </w:r>
    </w:p>
    <w:p>
      <w:pPr>
        <w:pStyle w:val="ListBullet"/>
      </w:pPr>
      <w:r>
        <w:rPr>
          <w:b w:val="0"/>
          <w:i w:val="0"/>
        </w:rPr>
        <w:t>GDPR-TPL-05 Data subject request response letters</w:t>
      </w:r>
    </w:p>
    <w:p>
      <w:pPr>
        <w:pStyle w:val="ListBullet"/>
      </w:pPr>
      <w:r>
        <w:rPr>
          <w:b w:val="0"/>
          <w:i w:val="0"/>
        </w:rPr>
        <w:t>PIMS-REG-02 Data subject request register</w:t>
      </w:r>
    </w:p>
    <w:p>
      <w:pPr>
        <w:pStyle w:val="ListBullet"/>
      </w:pPr>
      <w:r>
        <w:rPr>
          <w:b w:val="0"/>
          <w:i w:val="0"/>
        </w:rPr>
        <w:t>PIMS-REG-01 Personal data processing inventory</w:t>
      </w:r>
    </w:p>
    <w:p>
      <w:pPr>
        <w:pStyle w:val="ListBullet"/>
      </w:pPr>
      <w:r>
        <w:rPr>
          <w:b w:val="0"/>
          <w:i w:val="0"/>
        </w:rPr>
        <w:t>PIMS-REG-06 Processor and sub-processor register</w:t>
      </w:r>
    </w:p>
    <w:p>
      <w:pPr>
        <w:pStyle w:val="ListBullet"/>
      </w:pPr>
      <w:r>
        <w:rPr>
          <w:b w:val="0"/>
          <w:i w:val="0"/>
        </w:rPr>
        <w:t>PIMS-PRO-05 Consent and privacy notice management procedure</w:t>
      </w:r>
    </w:p>
    <w:p>
      <w:pPr>
        <w:pStyle w:val="ListBullet"/>
      </w:pPr>
      <w:r>
        <w:rPr>
          <w:b w:val="0"/>
          <w:i w:val="0"/>
        </w:rPr>
        <w:t>PIMS-POL-02 Data retention and disposal policy</w:t>
      </w:r>
    </w:p>
    <w:p>
      <w:pPr>
        <w:pStyle w:val="ListBullet"/>
      </w:pPr>
      <w:r>
        <w:rPr>
          <w:b w:val="0"/>
          <w:i w:val="0"/>
        </w:rPr>
        <w:t>GDPR-TPL-07 Legitimate interests assessment template</w:t>
      </w:r>
    </w:p>
    <w:p>
      <w:pPr>
        <w:pStyle w:val="ListBullet"/>
      </w:pPr>
      <w:r>
        <w:rPr>
          <w:b w:val="0"/>
          <w:i w:val="0"/>
        </w:rPr>
        <w:t>PIMS-PRO-07 Privacy control effectiveness monitoring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PIMS-PRO-03  |  Data subject rights handling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