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GOV-CHK-03</w:t>
      </w:r>
    </w:p>
    <w:p>
      <w:r>
        <w:rPr>
          <w:b/>
          <w:color w:val="0B2D4D"/>
          <w:sz w:val="44"/>
        </w:rPr>
        <w:t>Pre-audit readiness checklist</w:t>
      </w:r>
    </w:p>
    <w:p>
      <w:r>
        <w:rPr>
          <w:i/>
          <w:color w:val="526478"/>
        </w:rPr>
        <w:t>Forty-nine yes or no checks, grouped by ISO/IEC 27001:2022 clause 4 to 10, that [Organisation] runs four weeks before an external audit, each naming the evidence to have ready for the auditor.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GOV-CHK-03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Pre-audit readiness checklist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Checklist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clause 9.2; ISO/IEC 27001:2022 clause 4; ISO/IEC 27001:2022 clause 5; ISO/IEC 27001:2022 clause 6; ISO/IEC 27001:2022 clause 7; ISO/IEC 27001:2022 clause 8; ISO/IEC 27001:2022 clause 9; ISO/IEC 27001:2022 clause 10; SOC 2 CC4.1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How to use this checklist</w:t>
      </w:r>
    </w:p>
    <w:p>
      <w:r>
        <w:rPr>
          <w:b w:val="0"/>
          <w:i w:val="0"/>
        </w:rPr>
        <w:t>Run it four weeks before a stage 1, stage 2, surveillance, recertification or SOC 2 audit. The Information Security Manager assigns each check to the role that holds the evidence, collects the answers within five working days, and raises a corrective action in GOV-REG-03 for every "No" with an owner and a due date before the audit date. A "No" that cannot be fixed before the audit is disclosed to the auditor at the opening meeting rather than discovered during it. Keep the completed checklist as a record. Evidence should be exported from the system of record, show the date and the account, and be filed under the numbered area used by PB-09.</w:t>
      </w:r>
    </w:p>
    <w:p>
      <w:pPr>
        <w:pStyle w:val="Heading1"/>
      </w:pPr>
      <w:r>
        <w:t>2. Clause 4: context and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have ready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Yes or No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4.1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Internal and external issues have been analysed and the analysis was reviewed in the last twelve months.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ISMS-PRO-01 output with review date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4.2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Interested parties and their requirements are recorded and current.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ISMS-REG-03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4.3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scope statement is approved, matches the certificate scope requested, and justifies every exclusion.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ISMS-STM-01 with approval record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4.4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Interfaces and dependencies with suppliers and cloud providers are described and match the supplier register.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ISMS-STM-01, GOV-REG-07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3. Clause 5: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have ready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Yes or No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information security policy is signed by the Chief Executive Officer, is the current version, and is published where staff can find it.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GOV-POL-03, GOV-REG-01 entry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management commitment statement is signed and current.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GOV-STM-01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Roles, responsibilities and authorities are assigned, communicated and match the organisation chart.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GOV-POL-01, organisation chart, role descriptions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steering committee has met at the cadence in its charter and the minutes show decisions.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Charter, minutes for the last four quarters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 budget and staffing for the management system were approved for the current year.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Budget approval record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Staff interviewed at random can say where the policy is and how to report an incident.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Awareness spot check results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4. Clause 6: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have ready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Yes or No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risk methodology is approved and its criteria (scales, bands, appetite, authorities) are defined.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GOV-PRO-05 with approval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 full risk assessment was performed in the last twelve months and every risk has an owner.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GOV-REG-05 with dates and owners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Every High or Critical risk has an approved treatment plan or a current acceptance.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GOV-REG-05, GOV-REG-06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Risk owners have approved the treatment plan and residual risks have been accepted by the right authority.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Signed treatment plan, GOV-TPL-06 forms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Statement of Applicability lists all 93 Annex A controls with justification and implementation status.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ISMS-REG-01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Every control named in a treatment plan is Applicable in the Statement of Applicability, and no Not applicable control is relied on anywhere.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Cross-check of GOV-REG-05 against ISMS-REG-01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Information security objectives are measurable, resourced, owned and have a plan.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ISMS-PLN-01, GOV-REG-21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Changes to the management system in the period were planned and recorded.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GOV-REG-01 history, GOV-REG-22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5. Clause 7: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have ready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Yes or No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Competence requirements for security and privacy roles are defined and evidence of competence is held.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ISMS-PRO-02 matrix, certificates, training records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Everyone in scope completed induction and the annual refresher; completion rate meets the target.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GOV-REG-09 with completion report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Everyone in scope has acknowledged the policy and the acceptable use policy.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GOV-REG-23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Internal and external communications about security follow the communication plan.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ISMS-PLN-02 with examples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master list of documents is current, every document is at an approved version, and owners and review dates are set.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Withdrawn documents are removed from the live location and no uncontrolled copies are in use.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Sample of document locations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Records are retained for the required period, protected from alteration and retrievable on request.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PIMS-REG-07, sample retrievals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6. Clause 8: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have ready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Yes or No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Operational procedures are followed as written; a sample of the last three months of records shows no unexplained gaps.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Samples from access, change and incident records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risk treatment plan is on track and implemented controls have evidence.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Treatment plan status, control evidence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Outsourced and cloud processes are controlled: suppliers are tiered, assessed and reviewed on schedule.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GOV-REG-07, questionnaires, review records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Access reviews were completed on schedule and removals were actioned.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GOV-REG-12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Vulnerabilities are remediated within the agreed times or have an approved exception.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GOV-REG-14, GOV-REG-06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Backups run as scheduled and a restore test was performed and recorded in the last quarter.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GOV-REG-15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Incidents are recorded, classified, reviewed and closed with lessons.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GOV-REG-08, post-incident reviews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Changes are recorded with approval, testing and rollback.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GOV-REG-11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Business continuity arrangements were exercised in the period.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GOV-REG-16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asset inventory is current, owned and classified.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GOV-REG-10, GOV-REG-24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8.11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Active exceptions are within their expiry dates and reviewed.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GOV-REG-06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7. Clause 9: performance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have ready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Yes or No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What is monitored and measured, how, when and by whom is defined, and results are recorded.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ISMS-PRO-04, measurement records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Objectives have been measured and the tracker shows current values and status.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GOV-REG-21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internal audit programme covers every clause and every applicable control within the cycle.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GOV-REG-02, ISMS-PLN-03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Internal audits were performed by competent auditors independent of the area, and reports were issued.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GOV-TPL-01 reports, competence records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Every internal audit nonconformity has a corrective action with a root cause.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GOV-REG-03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 management review was held in the last twelve months and every mandatory input was covered.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GOV-TPL-03 minutes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Management review outputs are tracked and the actions are progressing.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GOV-REG-22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8. Clause 10: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have ready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Yes or No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10.1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Nonconformities from every source are logged with correction, root cause and corrective action.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GOV-REG-03, GOV-TPL-02 forms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10.2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Effectiveness of corrective actions has been verified by someone other than the action owner.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GOV-REG-03 verification entries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10.3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Findings from the previous external audit are closed with evidence.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Previous audit report, closure evidence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10.4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Trend analysis of nonconformities has been performed and reported.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Quarterly trend report, steering committee minutes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10.5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legal, regulatory and contractual register is current and every obligation has a status.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GOV-REG-04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10.6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Where privacy is in scope, the processing inventory is current and DPIAs exist where required.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PIMS-REG-01, PIMS-REG-08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9. Logistics</w:t>
      </w:r>
    </w:p>
    <w:p>
      <w:r>
        <w:rPr>
          <w:b w:val="0"/>
          <w:i w:val="0"/>
        </w:rPr>
        <w:t>Confirm the following before the audit date: the audit plan from the certification body has been received and the auditees in it are available; each evidence area has a named owner who can share screens; a room or call with screen sharing is booked; the previous audit report and certificate are to hand; and the Information Security Manager has walked through this checklist with the executive sponsor.</w:t>
      </w:r>
    </w:p>
    <w:p>
      <w:pPr>
        <w:pStyle w:val="Heading1"/>
      </w:pPr>
      <w:r>
        <w:t>10. Related documents</w:t>
      </w:r>
    </w:p>
    <w:p>
      <w:pPr>
        <w:pStyle w:val="ListBullet"/>
      </w:pPr>
      <w:r>
        <w:rPr>
          <w:b w:val="0"/>
          <w:i w:val="0"/>
        </w:rPr>
        <w:t>GOV-PRO-02 Internal audit procedure</w:t>
      </w:r>
    </w:p>
    <w:p>
      <w:pPr>
        <w:pStyle w:val="ListBullet"/>
      </w:pPr>
      <w:r>
        <w:rPr>
          <w:b w:val="0"/>
          <w:i w:val="0"/>
        </w:rPr>
        <w:t>GOV-PRO-03 Management review procedure</w:t>
      </w:r>
    </w:p>
    <w:p>
      <w:pPr>
        <w:pStyle w:val="ListBullet"/>
      </w:pPr>
      <w:r>
        <w:rPr>
          <w:b w:val="0"/>
          <w:i w:val="0"/>
        </w:rPr>
        <w:t>GOV-PRO-04 Nonconformity and corrective action procedure</w:t>
      </w:r>
    </w:p>
    <w:p>
      <w:pPr>
        <w:pStyle w:val="ListBullet"/>
      </w:pPr>
      <w:r>
        <w:rPr>
          <w:b w:val="0"/>
          <w:i w:val="0"/>
        </w:rPr>
        <w:t>GOV-PRO-05 Risk assessment and treatment methodology</w:t>
      </w:r>
    </w:p>
    <w:p>
      <w:pPr>
        <w:pStyle w:val="ListBullet"/>
      </w:pPr>
      <w:r>
        <w:rPr>
          <w:b w:val="0"/>
          <w:i w:val="0"/>
        </w:rPr>
        <w:t>GOV-REG-03 Corrective action log</w:t>
      </w:r>
    </w:p>
    <w:p>
      <w:pPr>
        <w:pStyle w:val="ListBullet"/>
      </w:pPr>
      <w:r>
        <w:rPr>
          <w:b w:val="0"/>
          <w:i w:val="0"/>
        </w:rPr>
        <w:t>ISMS-GDE-02 Guide: mandatory documented information and records for ISO/IEC 27001:2022</w:t>
      </w:r>
    </w:p>
    <w:p>
      <w:pPr>
        <w:pStyle w:val="ListBullet"/>
      </w:pPr>
      <w:r>
        <w:rPr>
          <w:b w:val="0"/>
          <w:i w:val="0"/>
        </w:rPr>
        <w:t>ISMS-GDE-03 Guide: the certification journey from decision to recertification</w:t>
      </w:r>
    </w:p>
    <w:p>
      <w:pPr>
        <w:pStyle w:val="ListBullet"/>
      </w:pPr>
      <w:r>
        <w:rPr>
          <w:b w:val="0"/>
          <w:i w:val="0"/>
        </w:rPr>
        <w:t>PB-09 Playbook: evidence management that survives an audit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GOV-CHK-03  |  Pre-audit readiness checklist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