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PB-04</w:t>
      </w:r>
    </w:p>
    <w:p>
      <w:r>
        <w:rPr>
          <w:b/>
          <w:color w:val="0B2D4D"/>
          <w:sz w:val="44"/>
        </w:rPr>
        <w:t>Playbook: GDPR operations for a product team in ten steps</w:t>
      </w:r>
    </w:p>
    <w:p>
      <w:r>
        <w:rPr>
          <w:i/>
          <w:color w:val="526478"/>
        </w:rPr>
        <w:t>Ten steps that turn GDPR from a one-off project into an operating habit for a team that builds or runs a product handling personal data.</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PB-04</w:t>
            </w:r>
          </w:p>
        </w:tc>
      </w:tr>
      <w:tr>
        <w:tc>
          <w:tcPr>
            <w:tcW w:type="dxa" w:w="2551"/>
            <w:shd w:val="clear" w:color="auto" w:fill="EEF3F8"/>
          </w:tcPr>
          <w:p>
            <w:pPr>
              <w:spacing w:after="40"/>
            </w:pPr>
            <w:r>
              <w:rPr>
                <w:b/>
                <w:sz w:val="19"/>
              </w:rPr>
              <w:t>Title</w:t>
            </w:r>
          </w:p>
        </w:tc>
        <w:tc>
          <w:tcPr>
            <w:tcW w:type="dxa" w:w="6803"/>
          </w:tcPr>
          <w:p>
            <w:pPr>
              <w:spacing w:after="40"/>
            </w:pPr>
            <w:r>
              <w:rPr>
                <w:sz w:val="19"/>
              </w:rPr>
              <w:t>Playbook: GDPR operations for a product team in ten steps</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24; GDPR Article 30</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playbook makes GDPR operational. It assumes a small team that processes personal data through a product or service and wants accountability to run as part of normal work, not as a box-ticking exercise before an audit that never comes.</w:t>
      </w:r>
    </w:p>
    <w:p>
      <w:pPr>
        <w:pStyle w:val="Heading1"/>
      </w:pPr>
      <w:r>
        <w:t>2. The idea in one paragraph</w:t>
      </w:r>
    </w:p>
    <w:p>
      <w:r>
        <w:rPr>
          <w:b w:val="0"/>
          <w:i w:val="0"/>
        </w:rPr>
        <w:t>GDPR is an accountability law. It asks for four things: a map of the personal data you process, the operating processes that handle it, the evidence that those processes ran, and consistent statements to the outside world. Everything below builds those four things and keeps them current.</w:t>
      </w:r>
    </w:p>
    <w:p>
      <w:pPr>
        <w:pStyle w:val="Heading1"/>
      </w:pPr>
      <w:r>
        <w:t>3. The ten steps</w:t>
      </w:r>
    </w:p>
    <w:p>
      <w:r>
        <w:rPr>
          <w:b w:val="0"/>
          <w:i w:val="0"/>
        </w:rPr>
        <w:t xml:space="preserve">3.1 </w:t>
      </w:r>
      <w:r>
        <w:rPr>
          <w:b/>
        </w:rPr>
        <w:t>Secure management commitment.</w:t>
      </w:r>
      <w:r>
        <w:rPr>
          <w:b w:val="0"/>
          <w:i w:val="0"/>
        </w:rPr>
        <w:t xml:space="preserve"> Agree who owns privacy, give them time and authority, and adopt the data protection policy (GDPR-POL-01). Decide whether a data protection officer is required.</w:t>
      </w:r>
    </w:p>
    <w:p>
      <w:r>
        <w:rPr>
          <w:b w:val="0"/>
          <w:i w:val="0"/>
        </w:rPr>
        <w:t xml:space="preserve">3.2 </w:t>
      </w:r>
      <w:r>
        <w:rPr>
          <w:b/>
        </w:rPr>
        <w:t>Define roles.</w:t>
      </w:r>
      <w:r>
        <w:rPr>
          <w:b w:val="0"/>
          <w:i w:val="0"/>
        </w:rPr>
        <w:t xml:space="preserve"> Record who is responsible for the processing inventory, who approves external statements, who handles requests and who leads a breach. Determine for each activity whether you are a controller or a processor (PIMS-PRO-01).</w:t>
      </w:r>
    </w:p>
    <w:p>
      <w:r>
        <w:rPr>
          <w:b w:val="0"/>
          <w:i w:val="0"/>
        </w:rPr>
        <w:t xml:space="preserve">3.3 </w:t>
      </w:r>
      <w:r>
        <w:rPr>
          <w:b/>
        </w:rPr>
        <w:t>Map the data.</w:t>
      </w:r>
      <w:r>
        <w:rPr>
          <w:b w:val="0"/>
          <w:i w:val="0"/>
        </w:rPr>
        <w:t xml:space="preserve"> Build the processing inventory (PIMS-REG-01) and the data flow map (GDPR-REG-02): what personal data you hold, why, on what basis, who receives it, where it goes and how long you keep it. This is the record of processing and the source for everything else.</w:t>
      </w:r>
    </w:p>
    <w:p>
      <w:r>
        <w:rPr>
          <w:b w:val="0"/>
          <w:i w:val="0"/>
        </w:rPr>
        <w:t xml:space="preserve">3.4 </w:t>
      </w:r>
      <w:r>
        <w:rPr>
          <w:b/>
        </w:rPr>
        <w:t>Set lawful bases and notices.</w:t>
      </w:r>
      <w:r>
        <w:rPr>
          <w:b w:val="0"/>
          <w:i w:val="0"/>
        </w:rPr>
        <w:t xml:space="preserve"> Record a lawful basis for every activity. Publish clear privacy notices (GDPR-TPL-01 to GDPR-TPL-03) and, where you rely on consent, capture and record it so you can prove it and honour withdrawal (PIMS-PRO-05).</w:t>
      </w:r>
    </w:p>
    <w:p>
      <w:r>
        <w:rPr>
          <w:b w:val="0"/>
          <w:i w:val="0"/>
        </w:rPr>
        <w:t xml:space="preserve">3.5 </w:t>
      </w:r>
      <w:r>
        <w:rPr>
          <w:b/>
        </w:rPr>
        <w:t>Stand up the rights process.</w:t>
      </w:r>
      <w:r>
        <w:rPr>
          <w:b w:val="0"/>
          <w:i w:val="0"/>
        </w:rPr>
        <w:t xml:space="preserve"> Put in place a route for people to exercise their rights, with the one-month clock tracked and the response letters ready (PIMS-PRO-03, GDPR-TPL-05). Log every request (PIMS-REG-02).</w:t>
      </w:r>
    </w:p>
    <w:p>
      <w:r>
        <w:rPr>
          <w:b w:val="0"/>
          <w:i w:val="0"/>
        </w:rPr>
        <w:t xml:space="preserve">3.6 </w:t>
      </w:r>
      <w:r>
        <w:rPr>
          <w:b/>
        </w:rPr>
        <w:t>Prepare for impact assessments.</w:t>
      </w:r>
      <w:r>
        <w:rPr>
          <w:b w:val="0"/>
          <w:i w:val="0"/>
        </w:rPr>
        <w:t xml:space="preserve"> Set the triggers and the method for a data protection impact assessment (PIMS-PRO-02, PIMS-TPL-01), and run one before any high-risk processing goes live.</w:t>
      </w:r>
    </w:p>
    <w:p>
      <w:r>
        <w:rPr>
          <w:b w:val="0"/>
          <w:i w:val="0"/>
        </w:rPr>
        <w:t xml:space="preserve">3.7 </w:t>
      </w:r>
      <w:r>
        <w:rPr>
          <w:b/>
        </w:rPr>
        <w:t>Be ready for a breach.</w:t>
      </w:r>
      <w:r>
        <w:rPr>
          <w:b w:val="0"/>
          <w:i w:val="0"/>
        </w:rPr>
        <w:t xml:space="preserve"> Adopt the breach procedure (PIMS-PRO-04) with the seventy-two hour clock, the risk assessment to individuals, and the notification form (GDPR-TPL-10). Record every breach, whether or not it was notified.</w:t>
      </w:r>
    </w:p>
    <w:p>
      <w:r>
        <w:rPr>
          <w:b w:val="0"/>
          <w:i w:val="0"/>
        </w:rPr>
        <w:t xml:space="preserve">3.8 </w:t>
      </w:r>
      <w:r>
        <w:rPr>
          <w:b/>
        </w:rPr>
        <w:t>Govern suppliers and transfers.</w:t>
      </w:r>
      <w:r>
        <w:rPr>
          <w:b w:val="0"/>
          <w:i w:val="0"/>
        </w:rPr>
        <w:t xml:space="preserve"> Keep the processor register (PIMS-REG-06) with Article 28 terms in place, and the transfer register (PIMS-REG-05) with a lawful mechanism and an impact assessment for each crossing outside the region.</w:t>
      </w:r>
    </w:p>
    <w:p>
      <w:r>
        <w:rPr>
          <w:b w:val="0"/>
          <w:i w:val="0"/>
        </w:rPr>
        <w:t xml:space="preserve">3.9 </w:t>
      </w:r>
      <w:r>
        <w:rPr>
          <w:b/>
        </w:rPr>
        <w:t>Apply retention and deletion.</w:t>
      </w:r>
      <w:r>
        <w:rPr>
          <w:b w:val="0"/>
          <w:i w:val="0"/>
        </w:rPr>
        <w:t xml:space="preserve"> Run the retention schedule (PIMS-REG-07) and make sure deletion reaches primary storage, derived data, backups and logs, not just the front-end record.</w:t>
      </w:r>
    </w:p>
    <w:p>
      <w:r>
        <w:rPr>
          <w:b w:val="0"/>
          <w:i w:val="0"/>
        </w:rPr>
        <w:t xml:space="preserve">3.10 </w:t>
      </w:r>
      <w:r>
        <w:rPr>
          <w:b/>
        </w:rPr>
        <w:t>Review on a cadence.</w:t>
      </w:r>
      <w:r>
        <w:rPr>
          <w:b w:val="0"/>
          <w:i w:val="0"/>
        </w:rPr>
        <w:t xml:space="preserve"> Work the habit: weekly for requests, incidents and supplier changes; monthly to export evidence and check retention; quarterly to refresh assessments; annually to review the whole programme. Every unknown becomes a line with an owner and a due date.</w:t>
      </w:r>
    </w:p>
    <w:p>
      <w:pPr>
        <w:pStyle w:val="Heading1"/>
      </w:pPr>
      <w:r>
        <w:t>4. Safe wording</w:t>
      </w:r>
    </w:p>
    <w:p>
      <w:r>
        <w:rPr>
          <w:b w:val="0"/>
          <w:i w:val="0"/>
        </w:rPr>
        <w:t>Never say "fully compliant" or "GDPR certified". Say what is true: that you process personal data under a recorded basis, that you keep a record of processing, and that you have the processes and evidence to meet your obligations. The gap assessment (GDPR-REG-01) tells you honestly where you stand.</w:t>
      </w:r>
    </w:p>
    <w:p>
      <w:pPr>
        <w:pStyle w:val="Heading1"/>
      </w:pPr>
      <w:r>
        <w:t>5. Related documents</w:t>
      </w:r>
    </w:p>
    <w:p>
      <w:pPr>
        <w:pStyle w:val="ListBullet"/>
      </w:pPr>
      <w:r>
        <w:rPr>
          <w:b w:val="0"/>
          <w:i w:val="0"/>
        </w:rPr>
        <w:t>GDPR-GDE-01 A GDPR operating model for a product team</w:t>
      </w:r>
    </w:p>
    <w:p>
      <w:pPr>
        <w:pStyle w:val="ListBullet"/>
      </w:pPr>
      <w:r>
        <w:rPr>
          <w:b w:val="0"/>
          <w:i w:val="0"/>
        </w:rPr>
        <w:t>GDPR-GDE-02 GDPR articles mapped to the kit</w:t>
      </w:r>
    </w:p>
    <w:p>
      <w:pPr>
        <w:pStyle w:val="ListBullet"/>
      </w:pPr>
      <w:r>
        <w:rPr>
          <w:b w:val="0"/>
          <w:i w:val="0"/>
        </w:rPr>
        <w:t>PIMS-REG-01 Personal data processing inventory</w:t>
      </w:r>
    </w:p>
    <w:p>
      <w:pPr>
        <w:pStyle w:val="ListBullet"/>
      </w:pPr>
      <w:r>
        <w:rPr>
          <w:b w:val="0"/>
          <w:i w:val="0"/>
        </w:rPr>
        <w:t>PIMS-PRO-03 Data subject rights handling</w:t>
      </w:r>
    </w:p>
    <w:p>
      <w:pPr>
        <w:pStyle w:val="ListBullet"/>
      </w:pPr>
      <w:r>
        <w:rPr>
          <w:b w:val="0"/>
          <w:i w:val="0"/>
        </w:rPr>
        <w:t>PIMS-PRO-04 Personal data breach handling</w:t>
      </w:r>
    </w:p>
    <w:p>
      <w:pPr>
        <w:pStyle w:val="ListBullet"/>
      </w:pPr>
      <w:r>
        <w:rPr>
          <w:b w:val="0"/>
          <w:i w:val="0"/>
        </w:rPr>
        <w:t>GDPR-REG-01 GDPR gap assessment</w:t>
      </w:r>
    </w:p>
    <w:p>
      <w:pPr>
        <w:pStyle w:val="ListBullet"/>
      </w:pPr>
      <w:r>
        <w:rPr>
          <w:b w:val="0"/>
          <w:i w:val="0"/>
        </w:rPr>
        <w:t>PB-05 Adding privacy management to an ISMS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PB-04  |  Playbook: GDPR operations for a product team in ten steps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