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HIPAA-GDE-02</w:t>
      </w:r>
    </w:p>
    <w:p>
      <w:r>
        <w:rPr>
          <w:b/>
          <w:color w:val="0B2D4D"/>
          <w:sz w:val="44"/>
        </w:rPr>
        <w:t>Guide: the HIPAA Security Rule mapped to the kit</w:t>
      </w:r>
    </w:p>
    <w:p>
      <w:r>
        <w:rPr>
          <w:i/>
          <w:color w:val="526478"/>
        </w:rPr>
        <w:t>Each HIPAA Security Rule standard mapped to the kit document that implements it, so a team already running the kit can see what the Security Rule adds. The full matrix, with every implementation specification and its required or addressable flag, is HIPAA-REG-01.</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HIPAA-GDE-02</w:t>
            </w:r>
          </w:p>
        </w:tc>
      </w:tr>
      <w:tr>
        <w:tc>
          <w:tcPr>
            <w:tcW w:type="dxa" w:w="2551"/>
            <w:shd w:val="clear" w:color="auto" w:fill="EEF3F8"/>
          </w:tcPr>
          <w:p>
            <w:pPr>
              <w:spacing w:after="40"/>
            </w:pPr>
            <w:r>
              <w:rPr>
                <w:b/>
                <w:sz w:val="19"/>
              </w:rPr>
              <w:t>Title</w:t>
            </w:r>
          </w:p>
        </w:tc>
        <w:tc>
          <w:tcPr>
            <w:tcW w:type="dxa" w:w="6803"/>
          </w:tcPr>
          <w:p>
            <w:pPr>
              <w:spacing w:after="40"/>
            </w:pPr>
            <w:r>
              <w:rPr>
                <w:sz w:val="19"/>
              </w:rPr>
              <w:t>Guide: the HIPAA Security Rule mapped to the kit</w:t>
            </w:r>
          </w:p>
        </w:tc>
      </w:tr>
      <w:tr>
        <w:tc>
          <w:tcPr>
            <w:tcW w:type="dxa" w:w="2551"/>
            <w:shd w:val="clear" w:color="auto" w:fill="EEF3F8"/>
          </w:tcPr>
          <w:p>
            <w:pPr>
              <w:spacing w:after="40"/>
            </w:pPr>
            <w:r>
              <w:rPr>
                <w:b/>
                <w:sz w:val="19"/>
              </w:rPr>
              <w:t>Type</w:t>
            </w:r>
          </w:p>
        </w:tc>
        <w:tc>
          <w:tcPr>
            <w:tcW w:type="dxa" w:w="6803"/>
          </w:tcPr>
          <w:p>
            <w:pPr>
              <w:spacing w:after="40"/>
            </w:pPr>
            <w:r>
              <w:rPr>
                <w:sz w:val="19"/>
              </w:rPr>
              <w:t>Guide</w:t>
            </w:r>
          </w:p>
        </w:tc>
      </w:tr>
      <w:tr>
        <w:tc>
          <w:tcPr>
            <w:tcW w:type="dxa" w:w="2551"/>
            <w:shd w:val="clear" w:color="auto" w:fill="EEF3F8"/>
          </w:tcPr>
          <w:p>
            <w:pPr>
              <w:spacing w:after="40"/>
            </w:pPr>
            <w:r>
              <w:rPr>
                <w:b/>
                <w:sz w:val="19"/>
              </w:rPr>
              <w:t>Framework</w:t>
            </w:r>
          </w:p>
        </w:tc>
        <w:tc>
          <w:tcPr>
            <w:tcW w:type="dxa" w:w="6803"/>
          </w:tcPr>
          <w:p>
            <w:pPr>
              <w:spacing w:after="40"/>
            </w:pPr>
            <w:r>
              <w:rPr>
                <w:sz w:val="19"/>
              </w:rPr>
              <w:t>HIPAA</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HIPAA 45 CFR 164.308; HIPAA 45 CFR 164.310; HIPAA 45 CFR 164.312; HIPAA 45 CFR 164.314; HIPAA 45 CFR 164.316</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How to read this</w:t>
      </w:r>
    </w:p>
    <w:p>
      <w:r>
        <w:rPr>
          <w:b w:val="0"/>
          <w:i w:val="0"/>
        </w:rPr>
        <w:t>The Security Rule groups its requirements into administrative, physical and technical safeguards, plus organisational requirements and documentation. This guide maps each standard to the kit document that implements it. The point is simple: most of the Security Rule is good security practice the kit already provides, so a team running the kit is most of the way there. The full matrix, down to each implementation specification and whether it is required or addressable, is the register HIPAA-REG-01.</w:t>
      </w:r>
    </w:p>
    <w:p>
      <w:pPr>
        <w:pStyle w:val="Heading1"/>
      </w:pPr>
      <w:r>
        <w:t>2. Administrative safeguards (164.308)</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Standard</w:t>
            </w:r>
          </w:p>
        </w:tc>
        <w:tc>
          <w:tcPr>
            <w:tcW w:type="dxa" w:w="3249"/>
            <w:shd w:val="clear" w:color="auto" w:fill="EEF3F8"/>
          </w:tcPr>
          <w:p>
            <w:pPr>
              <w:spacing w:after="40"/>
            </w:pPr>
            <w:r>
              <w:rPr>
                <w:b/>
                <w:i w:val="0"/>
                <w:sz w:val="19"/>
              </w:rPr>
              <w:t>Theme</w:t>
            </w:r>
          </w:p>
        </w:tc>
        <w:tc>
          <w:tcPr>
            <w:tcW w:type="dxa" w:w="3249"/>
            <w:shd w:val="clear" w:color="auto" w:fill="EEF3F8"/>
          </w:tcPr>
          <w:p>
            <w:pPr>
              <w:spacing w:after="40"/>
            </w:pPr>
            <w:r>
              <w:rPr>
                <w:b/>
                <w:i w:val="0"/>
                <w:sz w:val="19"/>
              </w:rPr>
              <w:t>Kit documents</w:t>
            </w:r>
          </w:p>
        </w:tc>
      </w:tr>
      <w:tr>
        <w:tc>
          <w:tcPr>
            <w:tcW w:type="dxa" w:w="3249"/>
          </w:tcPr>
          <w:p>
            <w:pPr>
              <w:spacing w:after="40"/>
            </w:pPr>
            <w:r>
              <w:rPr>
                <w:b w:val="0"/>
                <w:i w:val="0"/>
                <w:sz w:val="19"/>
              </w:rPr>
              <w:t>Security management process</w:t>
            </w:r>
          </w:p>
        </w:tc>
        <w:tc>
          <w:tcPr>
            <w:tcW w:type="dxa" w:w="3249"/>
          </w:tcPr>
          <w:p>
            <w:pPr>
              <w:spacing w:after="40"/>
            </w:pPr>
            <w:r>
              <w:rPr>
                <w:b w:val="0"/>
                <w:i w:val="0"/>
                <w:sz w:val="19"/>
              </w:rPr>
              <w:t>Risk analysis, risk management, sanctions, activity review</w:t>
            </w:r>
          </w:p>
        </w:tc>
        <w:tc>
          <w:tcPr>
            <w:tcW w:type="dxa" w:w="3249"/>
          </w:tcPr>
          <w:p>
            <w:pPr>
              <w:spacing w:after="40"/>
            </w:pPr>
            <w:r>
              <w:rPr>
                <w:b w:val="0"/>
                <w:i w:val="0"/>
                <w:sz w:val="19"/>
              </w:rPr>
              <w:t>HIPAA-PRO-01; GOV-PRO-05; GOV-REG-05; GOV-PRO-14</w:t>
            </w:r>
          </w:p>
        </w:tc>
      </w:tr>
      <w:tr>
        <w:tc>
          <w:tcPr>
            <w:tcW w:type="dxa" w:w="3249"/>
          </w:tcPr>
          <w:p>
            <w:pPr>
              <w:spacing w:after="40"/>
            </w:pPr>
            <w:r>
              <w:rPr>
                <w:b w:val="0"/>
                <w:i w:val="0"/>
                <w:sz w:val="19"/>
              </w:rPr>
              <w:t>Assigned security responsibility</w:t>
            </w:r>
          </w:p>
        </w:tc>
        <w:tc>
          <w:tcPr>
            <w:tcW w:type="dxa" w:w="3249"/>
          </w:tcPr>
          <w:p>
            <w:pPr>
              <w:spacing w:after="40"/>
            </w:pPr>
            <w:r>
              <w:rPr>
                <w:b w:val="0"/>
                <w:i w:val="0"/>
                <w:sz w:val="19"/>
              </w:rPr>
              <w:t>A named security official</w:t>
            </w:r>
          </w:p>
        </w:tc>
        <w:tc>
          <w:tcPr>
            <w:tcW w:type="dxa" w:w="3249"/>
          </w:tcPr>
          <w:p>
            <w:pPr>
              <w:spacing w:after="40"/>
            </w:pPr>
            <w:r>
              <w:rPr>
                <w:b w:val="0"/>
                <w:i w:val="0"/>
                <w:sz w:val="19"/>
              </w:rPr>
              <w:t>HIPAA-POL-02; GOV-POL-01</w:t>
            </w:r>
          </w:p>
        </w:tc>
      </w:tr>
      <w:tr>
        <w:tc>
          <w:tcPr>
            <w:tcW w:type="dxa" w:w="3249"/>
          </w:tcPr>
          <w:p>
            <w:pPr>
              <w:spacing w:after="40"/>
            </w:pPr>
            <w:r>
              <w:rPr>
                <w:b w:val="0"/>
                <w:i w:val="0"/>
                <w:sz w:val="19"/>
              </w:rPr>
              <w:t>Workforce security</w:t>
            </w:r>
          </w:p>
        </w:tc>
        <w:tc>
          <w:tcPr>
            <w:tcW w:type="dxa" w:w="3249"/>
          </w:tcPr>
          <w:p>
            <w:pPr>
              <w:spacing w:after="40"/>
            </w:pPr>
            <w:r>
              <w:rPr>
                <w:b w:val="0"/>
                <w:i w:val="0"/>
                <w:sz w:val="19"/>
              </w:rPr>
              <w:t>Authorisation, clearance, termination</w:t>
            </w:r>
          </w:p>
        </w:tc>
        <w:tc>
          <w:tcPr>
            <w:tcW w:type="dxa" w:w="3249"/>
          </w:tcPr>
          <w:p>
            <w:pPr>
              <w:spacing w:after="40"/>
            </w:pPr>
            <w:r>
              <w:rPr>
                <w:b w:val="0"/>
                <w:i w:val="0"/>
                <w:sz w:val="19"/>
              </w:rPr>
              <w:t>GOV-PRO-18; GOV-PRO-10; GOV-CHK-01</w:t>
            </w:r>
          </w:p>
        </w:tc>
      </w:tr>
      <w:tr>
        <w:tc>
          <w:tcPr>
            <w:tcW w:type="dxa" w:w="3249"/>
          </w:tcPr>
          <w:p>
            <w:pPr>
              <w:spacing w:after="40"/>
            </w:pPr>
            <w:r>
              <w:rPr>
                <w:b w:val="0"/>
                <w:i w:val="0"/>
                <w:sz w:val="19"/>
              </w:rPr>
              <w:t>Information access management</w:t>
            </w:r>
          </w:p>
        </w:tc>
        <w:tc>
          <w:tcPr>
            <w:tcW w:type="dxa" w:w="3249"/>
          </w:tcPr>
          <w:p>
            <w:pPr>
              <w:spacing w:after="40"/>
            </w:pPr>
            <w:r>
              <w:rPr>
                <w:b w:val="0"/>
                <w:i w:val="0"/>
                <w:sz w:val="19"/>
              </w:rPr>
              <w:t>Access authorisation and modification</w:t>
            </w:r>
          </w:p>
        </w:tc>
        <w:tc>
          <w:tcPr>
            <w:tcW w:type="dxa" w:w="3249"/>
          </w:tcPr>
          <w:p>
            <w:pPr>
              <w:spacing w:after="40"/>
            </w:pPr>
            <w:r>
              <w:rPr>
                <w:b w:val="0"/>
                <w:i w:val="0"/>
                <w:sz w:val="19"/>
              </w:rPr>
              <w:t>GOV-PRO-10; GOV-TPL-09</w:t>
            </w:r>
          </w:p>
        </w:tc>
      </w:tr>
      <w:tr>
        <w:tc>
          <w:tcPr>
            <w:tcW w:type="dxa" w:w="3249"/>
          </w:tcPr>
          <w:p>
            <w:pPr>
              <w:spacing w:after="40"/>
            </w:pPr>
            <w:r>
              <w:rPr>
                <w:b w:val="0"/>
                <w:i w:val="0"/>
                <w:sz w:val="19"/>
              </w:rPr>
              <w:t>Security awareness and training</w:t>
            </w:r>
          </w:p>
        </w:tc>
        <w:tc>
          <w:tcPr>
            <w:tcW w:type="dxa" w:w="3249"/>
          </w:tcPr>
          <w:p>
            <w:pPr>
              <w:spacing w:after="40"/>
            </w:pPr>
            <w:r>
              <w:rPr>
                <w:b w:val="0"/>
                <w:i w:val="0"/>
                <w:sz w:val="19"/>
              </w:rPr>
              <w:t>Reminders, malware protection, log-in monitoring, passwords</w:t>
            </w:r>
          </w:p>
        </w:tc>
        <w:tc>
          <w:tcPr>
            <w:tcW w:type="dxa" w:w="3249"/>
          </w:tcPr>
          <w:p>
            <w:pPr>
              <w:spacing w:after="40"/>
            </w:pPr>
            <w:r>
              <w:rPr>
                <w:b w:val="0"/>
                <w:i w:val="0"/>
                <w:sz w:val="19"/>
              </w:rPr>
              <w:t>GOV-PRO-08; GOV-PRO-22; GOV-POL-06</w:t>
            </w:r>
          </w:p>
        </w:tc>
      </w:tr>
      <w:tr>
        <w:tc>
          <w:tcPr>
            <w:tcW w:type="dxa" w:w="3249"/>
          </w:tcPr>
          <w:p>
            <w:pPr>
              <w:spacing w:after="40"/>
            </w:pPr>
            <w:r>
              <w:rPr>
                <w:b w:val="0"/>
                <w:i w:val="0"/>
                <w:sz w:val="19"/>
              </w:rPr>
              <w:t>Security incident procedures</w:t>
            </w:r>
          </w:p>
        </w:tc>
        <w:tc>
          <w:tcPr>
            <w:tcW w:type="dxa" w:w="3249"/>
          </w:tcPr>
          <w:p>
            <w:pPr>
              <w:spacing w:after="40"/>
            </w:pPr>
            <w:r>
              <w:rPr>
                <w:b w:val="0"/>
                <w:i w:val="0"/>
                <w:sz w:val="19"/>
              </w:rPr>
              <w:t>Response and reporting</w:t>
            </w:r>
          </w:p>
        </w:tc>
        <w:tc>
          <w:tcPr>
            <w:tcW w:type="dxa" w:w="3249"/>
          </w:tcPr>
          <w:p>
            <w:pPr>
              <w:spacing w:after="40"/>
            </w:pPr>
            <w:r>
              <w:rPr>
                <w:b w:val="0"/>
                <w:i w:val="0"/>
                <w:sz w:val="19"/>
              </w:rPr>
              <w:t>GOV-PRO-07; GOV-REG-08</w:t>
            </w:r>
          </w:p>
        </w:tc>
      </w:tr>
      <w:tr>
        <w:tc>
          <w:tcPr>
            <w:tcW w:type="dxa" w:w="3249"/>
          </w:tcPr>
          <w:p>
            <w:pPr>
              <w:spacing w:after="40"/>
            </w:pPr>
            <w:r>
              <w:rPr>
                <w:b w:val="0"/>
                <w:i w:val="0"/>
                <w:sz w:val="19"/>
              </w:rPr>
              <w:t>Contingency plan</w:t>
            </w:r>
          </w:p>
        </w:tc>
        <w:tc>
          <w:tcPr>
            <w:tcW w:type="dxa" w:w="3249"/>
          </w:tcPr>
          <w:p>
            <w:pPr>
              <w:spacing w:after="40"/>
            </w:pPr>
            <w:r>
              <w:rPr>
                <w:b w:val="0"/>
                <w:i w:val="0"/>
                <w:sz w:val="19"/>
              </w:rPr>
              <w:t>Backup, disaster recovery, emergency mode, testing, criticality</w:t>
            </w:r>
          </w:p>
        </w:tc>
        <w:tc>
          <w:tcPr>
            <w:tcW w:type="dxa" w:w="3249"/>
          </w:tcPr>
          <w:p>
            <w:pPr>
              <w:spacing w:after="40"/>
            </w:pPr>
            <w:r>
              <w:rPr>
                <w:b w:val="0"/>
                <w:i w:val="0"/>
                <w:sz w:val="19"/>
              </w:rPr>
              <w:t>GOV-PRO-12; GOV-PRO-13; GOV-TPL-07</w:t>
            </w:r>
          </w:p>
        </w:tc>
      </w:tr>
      <w:tr>
        <w:tc>
          <w:tcPr>
            <w:tcW w:type="dxa" w:w="3249"/>
          </w:tcPr>
          <w:p>
            <w:pPr>
              <w:spacing w:after="40"/>
            </w:pPr>
            <w:r>
              <w:rPr>
                <w:b w:val="0"/>
                <w:i w:val="0"/>
                <w:sz w:val="19"/>
              </w:rPr>
              <w:t>Evaluation</w:t>
            </w:r>
          </w:p>
        </w:tc>
        <w:tc>
          <w:tcPr>
            <w:tcW w:type="dxa" w:w="3249"/>
          </w:tcPr>
          <w:p>
            <w:pPr>
              <w:spacing w:after="40"/>
            </w:pPr>
            <w:r>
              <w:rPr>
                <w:b w:val="0"/>
                <w:i w:val="0"/>
                <w:sz w:val="19"/>
              </w:rPr>
              <w:t>Periodic review against the rule</w:t>
            </w:r>
          </w:p>
        </w:tc>
        <w:tc>
          <w:tcPr>
            <w:tcW w:type="dxa" w:w="3249"/>
          </w:tcPr>
          <w:p>
            <w:pPr>
              <w:spacing w:after="40"/>
            </w:pPr>
            <w:r>
              <w:rPr>
                <w:b w:val="0"/>
                <w:i w:val="0"/>
                <w:sz w:val="19"/>
              </w:rPr>
              <w:t>GOV-PRO-02; HIPAA-REG-01</w:t>
            </w:r>
          </w:p>
        </w:tc>
      </w:tr>
      <w:tr>
        <w:tc>
          <w:tcPr>
            <w:tcW w:type="dxa" w:w="3249"/>
          </w:tcPr>
          <w:p>
            <w:pPr>
              <w:spacing w:after="40"/>
            </w:pPr>
            <w:r>
              <w:rPr>
                <w:b w:val="0"/>
                <w:i w:val="0"/>
                <w:sz w:val="19"/>
              </w:rPr>
              <w:t>Business associate contracts</w:t>
            </w:r>
          </w:p>
        </w:tc>
        <w:tc>
          <w:tcPr>
            <w:tcW w:type="dxa" w:w="3249"/>
          </w:tcPr>
          <w:p>
            <w:pPr>
              <w:spacing w:after="40"/>
            </w:pPr>
            <w:r>
              <w:rPr>
                <w:b w:val="0"/>
                <w:i w:val="0"/>
                <w:sz w:val="19"/>
              </w:rPr>
              <w:t>Written assurances</w:t>
            </w:r>
          </w:p>
        </w:tc>
        <w:tc>
          <w:tcPr>
            <w:tcW w:type="dxa" w:w="3249"/>
          </w:tcPr>
          <w:p>
            <w:pPr>
              <w:spacing w:after="40"/>
            </w:pPr>
            <w:r>
              <w:rPr>
                <w:b w:val="0"/>
                <w:i w:val="0"/>
                <w:sz w:val="19"/>
              </w:rPr>
              <w:t>HIPAA-TPL-01; HIPAA-REG-02</w:t>
            </w:r>
          </w:p>
        </w:tc>
      </w:tr>
    </w:tbl>
    <w:p/>
    <w:p>
      <w:pPr>
        <w:pStyle w:val="Heading1"/>
      </w:pPr>
      <w:r>
        <w:t>3. Physical safeguards (164.310)</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Standard</w:t>
            </w:r>
          </w:p>
        </w:tc>
        <w:tc>
          <w:tcPr>
            <w:tcW w:type="dxa" w:w="3249"/>
            <w:shd w:val="clear" w:color="auto" w:fill="EEF3F8"/>
          </w:tcPr>
          <w:p>
            <w:pPr>
              <w:spacing w:after="40"/>
            </w:pPr>
            <w:r>
              <w:rPr>
                <w:b/>
                <w:i w:val="0"/>
                <w:sz w:val="19"/>
              </w:rPr>
              <w:t>Theme</w:t>
            </w:r>
          </w:p>
        </w:tc>
        <w:tc>
          <w:tcPr>
            <w:tcW w:type="dxa" w:w="3249"/>
            <w:shd w:val="clear" w:color="auto" w:fill="EEF3F8"/>
          </w:tcPr>
          <w:p>
            <w:pPr>
              <w:spacing w:after="40"/>
            </w:pPr>
            <w:r>
              <w:rPr>
                <w:b/>
                <w:i w:val="0"/>
                <w:sz w:val="19"/>
              </w:rPr>
              <w:t>Kit documents</w:t>
            </w:r>
          </w:p>
        </w:tc>
      </w:tr>
      <w:tr>
        <w:tc>
          <w:tcPr>
            <w:tcW w:type="dxa" w:w="3249"/>
          </w:tcPr>
          <w:p>
            <w:pPr>
              <w:spacing w:after="40"/>
            </w:pPr>
            <w:r>
              <w:rPr>
                <w:b w:val="0"/>
                <w:i w:val="0"/>
                <w:sz w:val="19"/>
              </w:rPr>
              <w:t>Facility access controls</w:t>
            </w:r>
          </w:p>
        </w:tc>
        <w:tc>
          <w:tcPr>
            <w:tcW w:type="dxa" w:w="3249"/>
          </w:tcPr>
          <w:p>
            <w:pPr>
              <w:spacing w:after="40"/>
            </w:pPr>
            <w:r>
              <w:rPr>
                <w:b w:val="0"/>
                <w:i w:val="0"/>
                <w:sz w:val="19"/>
              </w:rPr>
              <w:t>Contingency operations, security plan, access validation, maintenance records</w:t>
            </w:r>
          </w:p>
        </w:tc>
        <w:tc>
          <w:tcPr>
            <w:tcW w:type="dxa" w:w="3249"/>
          </w:tcPr>
          <w:p>
            <w:pPr>
              <w:spacing w:after="40"/>
            </w:pPr>
            <w:r>
              <w:rPr>
                <w:b w:val="0"/>
                <w:i w:val="0"/>
                <w:sz w:val="19"/>
              </w:rPr>
              <w:t>GOV-PRO-17; GOV-REG-19</w:t>
            </w:r>
          </w:p>
        </w:tc>
      </w:tr>
      <w:tr>
        <w:tc>
          <w:tcPr>
            <w:tcW w:type="dxa" w:w="3249"/>
          </w:tcPr>
          <w:p>
            <w:pPr>
              <w:spacing w:after="40"/>
            </w:pPr>
            <w:r>
              <w:rPr>
                <w:b w:val="0"/>
                <w:i w:val="0"/>
                <w:sz w:val="19"/>
              </w:rPr>
              <w:t>Workstation use</w:t>
            </w:r>
          </w:p>
        </w:tc>
        <w:tc>
          <w:tcPr>
            <w:tcW w:type="dxa" w:w="3249"/>
          </w:tcPr>
          <w:p>
            <w:pPr>
              <w:spacing w:after="40"/>
            </w:pPr>
            <w:r>
              <w:rPr>
                <w:b w:val="0"/>
                <w:i w:val="0"/>
                <w:sz w:val="19"/>
              </w:rPr>
              <w:t>Rules for how workstations are used</w:t>
            </w:r>
          </w:p>
        </w:tc>
        <w:tc>
          <w:tcPr>
            <w:tcW w:type="dxa" w:w="3249"/>
          </w:tcPr>
          <w:p>
            <w:pPr>
              <w:spacing w:after="40"/>
            </w:pPr>
            <w:r>
              <w:rPr>
                <w:b w:val="0"/>
                <w:i w:val="0"/>
                <w:sz w:val="19"/>
              </w:rPr>
              <w:t>GOV-POL-04; GOV-POL-02</w:t>
            </w:r>
          </w:p>
        </w:tc>
      </w:tr>
      <w:tr>
        <w:tc>
          <w:tcPr>
            <w:tcW w:type="dxa" w:w="3249"/>
          </w:tcPr>
          <w:p>
            <w:pPr>
              <w:spacing w:after="40"/>
            </w:pPr>
            <w:r>
              <w:rPr>
                <w:b w:val="0"/>
                <w:i w:val="0"/>
                <w:sz w:val="19"/>
              </w:rPr>
              <w:t>Workstation security</w:t>
            </w:r>
          </w:p>
        </w:tc>
        <w:tc>
          <w:tcPr>
            <w:tcW w:type="dxa" w:w="3249"/>
          </w:tcPr>
          <w:p>
            <w:pPr>
              <w:spacing w:after="40"/>
            </w:pPr>
            <w:r>
              <w:rPr>
                <w:b w:val="0"/>
                <w:i w:val="0"/>
                <w:sz w:val="19"/>
              </w:rPr>
              <w:t>Physical protection of workstations</w:t>
            </w:r>
          </w:p>
        </w:tc>
        <w:tc>
          <w:tcPr>
            <w:tcW w:type="dxa" w:w="3249"/>
          </w:tcPr>
          <w:p>
            <w:pPr>
              <w:spacing w:after="40"/>
            </w:pPr>
            <w:r>
              <w:rPr>
                <w:b w:val="0"/>
                <w:i w:val="0"/>
                <w:sz w:val="19"/>
              </w:rPr>
              <w:t>GOV-PRO-17; GOV-PRO-22</w:t>
            </w:r>
          </w:p>
        </w:tc>
      </w:tr>
      <w:tr>
        <w:tc>
          <w:tcPr>
            <w:tcW w:type="dxa" w:w="3249"/>
          </w:tcPr>
          <w:p>
            <w:pPr>
              <w:spacing w:after="40"/>
            </w:pPr>
            <w:r>
              <w:rPr>
                <w:b w:val="0"/>
                <w:i w:val="0"/>
                <w:sz w:val="19"/>
              </w:rPr>
              <w:t>Device and media controls</w:t>
            </w:r>
          </w:p>
        </w:tc>
        <w:tc>
          <w:tcPr>
            <w:tcW w:type="dxa" w:w="3249"/>
          </w:tcPr>
          <w:p>
            <w:pPr>
              <w:spacing w:after="40"/>
            </w:pPr>
            <w:r>
              <w:rPr>
                <w:b w:val="0"/>
                <w:i w:val="0"/>
                <w:sz w:val="19"/>
              </w:rPr>
              <w:t>Disposal, re-use, accountability, backup</w:t>
            </w:r>
          </w:p>
        </w:tc>
        <w:tc>
          <w:tcPr>
            <w:tcW w:type="dxa" w:w="3249"/>
          </w:tcPr>
          <w:p>
            <w:pPr>
              <w:spacing w:after="40"/>
            </w:pPr>
            <w:r>
              <w:rPr>
                <w:b w:val="0"/>
                <w:i w:val="0"/>
                <w:sz w:val="19"/>
              </w:rPr>
              <w:t>GOV-PRO-16; GOV-REG-20</w:t>
            </w:r>
          </w:p>
        </w:tc>
      </w:tr>
    </w:tbl>
    <w:p/>
    <w:p>
      <w:pPr>
        <w:pStyle w:val="Heading1"/>
      </w:pPr>
      <w:r>
        <w:t>4. Technical safeguards (164.312)</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Standard</w:t>
            </w:r>
          </w:p>
        </w:tc>
        <w:tc>
          <w:tcPr>
            <w:tcW w:type="dxa" w:w="3249"/>
            <w:shd w:val="clear" w:color="auto" w:fill="EEF3F8"/>
          </w:tcPr>
          <w:p>
            <w:pPr>
              <w:spacing w:after="40"/>
            </w:pPr>
            <w:r>
              <w:rPr>
                <w:b/>
                <w:i w:val="0"/>
                <w:sz w:val="19"/>
              </w:rPr>
              <w:t>Theme</w:t>
            </w:r>
          </w:p>
        </w:tc>
        <w:tc>
          <w:tcPr>
            <w:tcW w:type="dxa" w:w="3249"/>
            <w:shd w:val="clear" w:color="auto" w:fill="EEF3F8"/>
          </w:tcPr>
          <w:p>
            <w:pPr>
              <w:spacing w:after="40"/>
            </w:pPr>
            <w:r>
              <w:rPr>
                <w:b/>
                <w:i w:val="0"/>
                <w:sz w:val="19"/>
              </w:rPr>
              <w:t>Kit documents</w:t>
            </w:r>
          </w:p>
        </w:tc>
      </w:tr>
      <w:tr>
        <w:tc>
          <w:tcPr>
            <w:tcW w:type="dxa" w:w="3249"/>
          </w:tcPr>
          <w:p>
            <w:pPr>
              <w:spacing w:after="40"/>
            </w:pPr>
            <w:r>
              <w:rPr>
                <w:b w:val="0"/>
                <w:i w:val="0"/>
                <w:sz w:val="19"/>
              </w:rPr>
              <w:t>Access control</w:t>
            </w:r>
          </w:p>
        </w:tc>
        <w:tc>
          <w:tcPr>
            <w:tcW w:type="dxa" w:w="3249"/>
          </w:tcPr>
          <w:p>
            <w:pPr>
              <w:spacing w:after="40"/>
            </w:pPr>
            <w:r>
              <w:rPr>
                <w:b w:val="0"/>
                <w:i w:val="0"/>
                <w:sz w:val="19"/>
              </w:rPr>
              <w:t>Unique user ID, emergency access, automatic logoff, encryption</w:t>
            </w:r>
          </w:p>
        </w:tc>
        <w:tc>
          <w:tcPr>
            <w:tcW w:type="dxa" w:w="3249"/>
          </w:tcPr>
          <w:p>
            <w:pPr>
              <w:spacing w:after="40"/>
            </w:pPr>
            <w:r>
              <w:rPr>
                <w:b w:val="0"/>
                <w:i w:val="0"/>
                <w:sz w:val="19"/>
              </w:rPr>
              <w:t>GOV-PRO-10; GOV-POL-06; GOV-PRO-20</w:t>
            </w:r>
          </w:p>
        </w:tc>
      </w:tr>
      <w:tr>
        <w:tc>
          <w:tcPr>
            <w:tcW w:type="dxa" w:w="3249"/>
          </w:tcPr>
          <w:p>
            <w:pPr>
              <w:spacing w:after="40"/>
            </w:pPr>
            <w:r>
              <w:rPr>
                <w:b w:val="0"/>
                <w:i w:val="0"/>
                <w:sz w:val="19"/>
              </w:rPr>
              <w:t>Audit controls</w:t>
            </w:r>
          </w:p>
        </w:tc>
        <w:tc>
          <w:tcPr>
            <w:tcW w:type="dxa" w:w="3249"/>
          </w:tcPr>
          <w:p>
            <w:pPr>
              <w:spacing w:after="40"/>
            </w:pPr>
            <w:r>
              <w:rPr>
                <w:b w:val="0"/>
                <w:i w:val="0"/>
                <w:sz w:val="19"/>
              </w:rPr>
              <w:t>Record and examine system activity</w:t>
            </w:r>
          </w:p>
        </w:tc>
        <w:tc>
          <w:tcPr>
            <w:tcW w:type="dxa" w:w="3249"/>
          </w:tcPr>
          <w:p>
            <w:pPr>
              <w:spacing w:after="40"/>
            </w:pPr>
            <w:r>
              <w:rPr>
                <w:b w:val="0"/>
                <w:i w:val="0"/>
                <w:sz w:val="19"/>
              </w:rPr>
              <w:t>GOV-PRO-14</w:t>
            </w:r>
          </w:p>
        </w:tc>
      </w:tr>
      <w:tr>
        <w:tc>
          <w:tcPr>
            <w:tcW w:type="dxa" w:w="3249"/>
          </w:tcPr>
          <w:p>
            <w:pPr>
              <w:spacing w:after="40"/>
            </w:pPr>
            <w:r>
              <w:rPr>
                <w:b w:val="0"/>
                <w:i w:val="0"/>
                <w:sz w:val="19"/>
              </w:rPr>
              <w:t>Integrity</w:t>
            </w:r>
          </w:p>
        </w:tc>
        <w:tc>
          <w:tcPr>
            <w:tcW w:type="dxa" w:w="3249"/>
          </w:tcPr>
          <w:p>
            <w:pPr>
              <w:spacing w:after="40"/>
            </w:pPr>
            <w:r>
              <w:rPr>
                <w:b w:val="0"/>
                <w:i w:val="0"/>
                <w:sz w:val="19"/>
              </w:rPr>
              <w:t>Protect information from improper alteration</w:t>
            </w:r>
          </w:p>
        </w:tc>
        <w:tc>
          <w:tcPr>
            <w:tcW w:type="dxa" w:w="3249"/>
          </w:tcPr>
          <w:p>
            <w:pPr>
              <w:spacing w:after="40"/>
            </w:pPr>
            <w:r>
              <w:rPr>
                <w:b w:val="0"/>
                <w:i w:val="0"/>
                <w:sz w:val="19"/>
              </w:rPr>
              <w:t>GOV-PRO-20; GOV-PRO-14</w:t>
            </w:r>
          </w:p>
        </w:tc>
      </w:tr>
      <w:tr>
        <w:tc>
          <w:tcPr>
            <w:tcW w:type="dxa" w:w="3249"/>
          </w:tcPr>
          <w:p>
            <w:pPr>
              <w:spacing w:after="40"/>
            </w:pPr>
            <w:r>
              <w:rPr>
                <w:b w:val="0"/>
                <w:i w:val="0"/>
                <w:sz w:val="19"/>
              </w:rPr>
              <w:t>Person or entity authentication</w:t>
            </w:r>
          </w:p>
        </w:tc>
        <w:tc>
          <w:tcPr>
            <w:tcW w:type="dxa" w:w="3249"/>
          </w:tcPr>
          <w:p>
            <w:pPr>
              <w:spacing w:after="40"/>
            </w:pPr>
            <w:r>
              <w:rPr>
                <w:b w:val="0"/>
                <w:i w:val="0"/>
                <w:sz w:val="19"/>
              </w:rPr>
              <w:t>Verify who is seeking access</w:t>
            </w:r>
          </w:p>
        </w:tc>
        <w:tc>
          <w:tcPr>
            <w:tcW w:type="dxa" w:w="3249"/>
          </w:tcPr>
          <w:p>
            <w:pPr>
              <w:spacing w:after="40"/>
            </w:pPr>
            <w:r>
              <w:rPr>
                <w:b w:val="0"/>
                <w:i w:val="0"/>
                <w:sz w:val="19"/>
              </w:rPr>
              <w:t>GOV-POL-06; GOV-PRO-10</w:t>
            </w:r>
          </w:p>
        </w:tc>
      </w:tr>
      <w:tr>
        <w:tc>
          <w:tcPr>
            <w:tcW w:type="dxa" w:w="3249"/>
          </w:tcPr>
          <w:p>
            <w:pPr>
              <w:spacing w:after="40"/>
            </w:pPr>
            <w:r>
              <w:rPr>
                <w:b w:val="0"/>
                <w:i w:val="0"/>
                <w:sz w:val="19"/>
              </w:rPr>
              <w:t>Transmission security</w:t>
            </w:r>
          </w:p>
        </w:tc>
        <w:tc>
          <w:tcPr>
            <w:tcW w:type="dxa" w:w="3249"/>
          </w:tcPr>
          <w:p>
            <w:pPr>
              <w:spacing w:after="40"/>
            </w:pPr>
            <w:r>
              <w:rPr>
                <w:b w:val="0"/>
                <w:i w:val="0"/>
                <w:sz w:val="19"/>
              </w:rPr>
              <w:t>Integrity controls and encryption in transit</w:t>
            </w:r>
          </w:p>
        </w:tc>
        <w:tc>
          <w:tcPr>
            <w:tcW w:type="dxa" w:w="3249"/>
          </w:tcPr>
          <w:p>
            <w:pPr>
              <w:spacing w:after="40"/>
            </w:pPr>
            <w:r>
              <w:rPr>
                <w:b w:val="0"/>
                <w:i w:val="0"/>
                <w:sz w:val="19"/>
              </w:rPr>
              <w:t>GOV-PRO-23; GOV-PRO-20; GOV-PRO-21</w:t>
            </w:r>
          </w:p>
        </w:tc>
      </w:tr>
    </w:tbl>
    <w:p/>
    <w:p>
      <w:pPr>
        <w:pStyle w:val="Heading1"/>
      </w:pPr>
      <w:r>
        <w:t>5. Organisational requirements and documentation (164.314 and 164.316)</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Standard</w:t>
            </w:r>
          </w:p>
        </w:tc>
        <w:tc>
          <w:tcPr>
            <w:tcW w:type="dxa" w:w="3249"/>
            <w:shd w:val="clear" w:color="auto" w:fill="EEF3F8"/>
          </w:tcPr>
          <w:p>
            <w:pPr>
              <w:spacing w:after="40"/>
            </w:pPr>
            <w:r>
              <w:rPr>
                <w:b/>
                <w:i w:val="0"/>
                <w:sz w:val="19"/>
              </w:rPr>
              <w:t>Theme</w:t>
            </w:r>
          </w:p>
        </w:tc>
        <w:tc>
          <w:tcPr>
            <w:tcW w:type="dxa" w:w="3249"/>
            <w:shd w:val="clear" w:color="auto" w:fill="EEF3F8"/>
          </w:tcPr>
          <w:p>
            <w:pPr>
              <w:spacing w:after="40"/>
            </w:pPr>
            <w:r>
              <w:rPr>
                <w:b/>
                <w:i w:val="0"/>
                <w:sz w:val="19"/>
              </w:rPr>
              <w:t>Kit documents</w:t>
            </w:r>
          </w:p>
        </w:tc>
      </w:tr>
      <w:tr>
        <w:tc>
          <w:tcPr>
            <w:tcW w:type="dxa" w:w="3249"/>
          </w:tcPr>
          <w:p>
            <w:pPr>
              <w:spacing w:after="40"/>
            </w:pPr>
            <w:r>
              <w:rPr>
                <w:b w:val="0"/>
                <w:i w:val="0"/>
                <w:sz w:val="19"/>
              </w:rPr>
              <w:t>Business associate arrangements</w:t>
            </w:r>
          </w:p>
        </w:tc>
        <w:tc>
          <w:tcPr>
            <w:tcW w:type="dxa" w:w="3249"/>
          </w:tcPr>
          <w:p>
            <w:pPr>
              <w:spacing w:after="40"/>
            </w:pPr>
            <w:r>
              <w:rPr>
                <w:b w:val="0"/>
                <w:i w:val="0"/>
                <w:sz w:val="19"/>
              </w:rPr>
              <w:t>Required contract terms</w:t>
            </w:r>
          </w:p>
        </w:tc>
        <w:tc>
          <w:tcPr>
            <w:tcW w:type="dxa" w:w="3249"/>
          </w:tcPr>
          <w:p>
            <w:pPr>
              <w:spacing w:after="40"/>
            </w:pPr>
            <w:r>
              <w:rPr>
                <w:b w:val="0"/>
                <w:i w:val="0"/>
                <w:sz w:val="19"/>
              </w:rPr>
              <w:t>HIPAA-TPL-01; GOV-PRO-06</w:t>
            </w:r>
          </w:p>
        </w:tc>
      </w:tr>
      <w:tr>
        <w:tc>
          <w:tcPr>
            <w:tcW w:type="dxa" w:w="3249"/>
          </w:tcPr>
          <w:p>
            <w:pPr>
              <w:spacing w:after="40"/>
            </w:pPr>
            <w:r>
              <w:rPr>
                <w:b w:val="0"/>
                <w:i w:val="0"/>
                <w:sz w:val="19"/>
              </w:rPr>
              <w:t>Policies and procedures</w:t>
            </w:r>
          </w:p>
        </w:tc>
        <w:tc>
          <w:tcPr>
            <w:tcW w:type="dxa" w:w="3249"/>
          </w:tcPr>
          <w:p>
            <w:pPr>
              <w:spacing w:after="40"/>
            </w:pPr>
            <w:r>
              <w:rPr>
                <w:b w:val="0"/>
                <w:i w:val="0"/>
                <w:sz w:val="19"/>
              </w:rPr>
              <w:t>Maintain reasonable and appropriate policies</w:t>
            </w:r>
          </w:p>
        </w:tc>
        <w:tc>
          <w:tcPr>
            <w:tcW w:type="dxa" w:w="3249"/>
          </w:tcPr>
          <w:p>
            <w:pPr>
              <w:spacing w:after="40"/>
            </w:pPr>
            <w:r>
              <w:rPr>
                <w:b w:val="0"/>
                <w:i w:val="0"/>
                <w:sz w:val="19"/>
              </w:rPr>
              <w:t>HIPAA-POL-02; GOV-PRO-01</w:t>
            </w:r>
          </w:p>
        </w:tc>
      </w:tr>
      <w:tr>
        <w:tc>
          <w:tcPr>
            <w:tcW w:type="dxa" w:w="3249"/>
          </w:tcPr>
          <w:p>
            <w:pPr>
              <w:spacing w:after="40"/>
            </w:pPr>
            <w:r>
              <w:rPr>
                <w:b w:val="0"/>
                <w:i w:val="0"/>
                <w:sz w:val="19"/>
              </w:rPr>
              <w:t>Documentation</w:t>
            </w:r>
          </w:p>
        </w:tc>
        <w:tc>
          <w:tcPr>
            <w:tcW w:type="dxa" w:w="3249"/>
          </w:tcPr>
          <w:p>
            <w:pPr>
              <w:spacing w:after="40"/>
            </w:pPr>
            <w:r>
              <w:rPr>
                <w:b w:val="0"/>
                <w:i w:val="0"/>
                <w:sz w:val="19"/>
              </w:rPr>
              <w:t>Keep records, make them available, review and update</w:t>
            </w:r>
          </w:p>
        </w:tc>
        <w:tc>
          <w:tcPr>
            <w:tcW w:type="dxa" w:w="3249"/>
          </w:tcPr>
          <w:p>
            <w:pPr>
              <w:spacing w:after="40"/>
            </w:pPr>
            <w:r>
              <w:rPr>
                <w:b w:val="0"/>
                <w:i w:val="0"/>
                <w:sz w:val="19"/>
              </w:rPr>
              <w:t>GOV-PRO-01; GOV-REG-01; HIPAA-REG-01</w:t>
            </w:r>
          </w:p>
        </w:tc>
      </w:tr>
    </w:tbl>
    <w:p/>
    <w:p>
      <w:pPr>
        <w:pStyle w:val="Heading1"/>
      </w:pPr>
      <w:r>
        <w:t>6. What HIPAA adds beyond the kit</w:t>
      </w:r>
    </w:p>
    <w:p>
      <w:r>
        <w:rPr>
          <w:b w:val="0"/>
          <w:i w:val="0"/>
        </w:rPr>
        <w:t>Three things are specific to HIPAA rather than general security practice: the business associate agreement and the assurances it carries, the breach notification duties and their time limits, and the required versus addressable judgement recorded for each specification. The HIPAA set provides all three. Everything else is the kit's existing controls, applied to electronic protected health information.</w:t>
      </w:r>
    </w:p>
    <w:p>
      <w:pPr>
        <w:pStyle w:val="Heading1"/>
      </w:pPr>
      <w:r>
        <w:t>7. Related documents</w:t>
      </w:r>
    </w:p>
    <w:p>
      <w:pPr>
        <w:pStyle w:val="ListBullet"/>
      </w:pPr>
      <w:r>
        <w:rPr>
          <w:b w:val="0"/>
          <w:i w:val="0"/>
        </w:rPr>
        <w:t>HIPAA-POL-02 HIPAA security policy</w:t>
      </w:r>
    </w:p>
    <w:p>
      <w:pPr>
        <w:pStyle w:val="ListBullet"/>
      </w:pPr>
      <w:r>
        <w:rPr>
          <w:b w:val="0"/>
          <w:i w:val="0"/>
        </w:rPr>
        <w:t>HIPAA-PRO-01 Security risk analysis procedure</w:t>
      </w:r>
    </w:p>
    <w:p>
      <w:pPr>
        <w:pStyle w:val="ListBullet"/>
      </w:pPr>
      <w:r>
        <w:rPr>
          <w:b w:val="0"/>
          <w:i w:val="0"/>
        </w:rPr>
        <w:t>HIPAA-REG-01 HIPAA Security Rule safeguard matrix</w:t>
      </w:r>
    </w:p>
    <w:p>
      <w:pPr>
        <w:pStyle w:val="ListBullet"/>
      </w:pPr>
      <w:r>
        <w:rPr>
          <w:b w:val="0"/>
          <w:i w:val="0"/>
        </w:rPr>
        <w:t>GOV-REG-27 Framework crosswalk</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HIPAA-GDE-02  |  Guide: the HIPAA Security Rule mapped to the kit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