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HIPAA-TPL-01</w:t>
      </w:r>
    </w:p>
    <w:p>
      <w:r>
        <w:rPr>
          <w:b/>
          <w:color w:val="0B2D4D"/>
          <w:sz w:val="44"/>
        </w:rPr>
        <w:t>Business associate agreement template</w:t>
      </w:r>
    </w:p>
    <w:p>
      <w:r>
        <w:rPr>
          <w:i/>
          <w:color w:val="526478"/>
        </w:rPr>
        <w:t>A plain-English template of the terms a business associate agreement needs under HIPAA, to be completed and reviewed by legal counsel before use.</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HIPAA-TPL-01</w:t>
            </w:r>
          </w:p>
        </w:tc>
      </w:tr>
      <w:tr>
        <w:tc>
          <w:tcPr>
            <w:tcW w:type="dxa" w:w="2551"/>
            <w:shd w:val="clear" w:color="auto" w:fill="EEF3F8"/>
          </w:tcPr>
          <w:p>
            <w:pPr>
              <w:spacing w:after="40"/>
            </w:pPr>
            <w:r>
              <w:rPr>
                <w:b/>
                <w:sz w:val="19"/>
              </w:rPr>
              <w:t>Title</w:t>
            </w:r>
          </w:p>
        </w:tc>
        <w:tc>
          <w:tcPr>
            <w:tcW w:type="dxa" w:w="6803"/>
          </w:tcPr>
          <w:p>
            <w:pPr>
              <w:spacing w:after="40"/>
            </w:pPr>
            <w:r>
              <w:rPr>
                <w:sz w:val="19"/>
              </w:rPr>
              <w:t>Business associate agreement template</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HIPAA</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HIPAA 45 CFR 164.504; HIPAA 45 CFR 164.314</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How to use this template</w:t>
      </w:r>
    </w:p>
    <w:p>
      <w:r>
        <w:rPr>
          <w:b w:val="0"/>
          <w:i w:val="0"/>
        </w:rPr>
        <w:t>This is a starting point for a business associate agreement between a covered entity and a business associate, or between a business associate and its subcontractor. It states the terms HIPAA requires in plain words. It is not legal advice. Complete every item in square brackets, remove what does not apply, and have it reviewed and signed by the parties' authorised representatives and, where appropriate, legal counsel, before use.</w:t>
      </w:r>
    </w:p>
    <w:p>
      <w:pPr>
        <w:pStyle w:val="Heading1"/>
      </w:pPr>
      <w:r>
        <w:t>2. Parties and purpose</w:t>
      </w:r>
    </w:p>
    <w:p>
      <w:r>
        <w:rPr>
          <w:b w:val="0"/>
          <w:i w:val="0"/>
        </w:rPr>
        <w:t>This agreement is between [Covered entity or business associate], the disclosing party, and [Business associate or subcontractor], the receiving party, in connection with [the services the receiving party provides]. It governs the receiving party's handling of protected health information it creates, receives, maintains or transmits for the disclosing party.</w:t>
      </w:r>
    </w:p>
    <w:p>
      <w:pPr>
        <w:pStyle w:val="Heading1"/>
      </w:pPr>
      <w:r>
        <w:t>3. Definitions</w:t>
      </w:r>
    </w:p>
    <w:p>
      <w:r>
        <w:rPr>
          <w:b w:val="0"/>
          <w:i w:val="0"/>
        </w:rPr>
        <w:t>Terms used here have the meaning given in the HIPAA Rules at 45 CFR Parts 160 and 164. "Protected health information" is limited to the information the receiving party handles for the disclosing party under this agreement.</w:t>
      </w:r>
    </w:p>
    <w:p>
      <w:pPr>
        <w:pStyle w:val="Heading1"/>
      </w:pPr>
      <w:r>
        <w:t>4. Obligations of the receiving party</w:t>
      </w:r>
    </w:p>
    <w:p>
      <w:r>
        <w:rPr>
          <w:b w:val="0"/>
          <w:i w:val="0"/>
        </w:rPr>
        <w:t xml:space="preserve">4.1 </w:t>
      </w:r>
      <w:r>
        <w:rPr>
          <w:b/>
        </w:rPr>
        <w:t>Permitted uses and disclosures.</w:t>
      </w:r>
      <w:r>
        <w:rPr>
          <w:b w:val="0"/>
          <w:i w:val="0"/>
        </w:rPr>
        <w:t xml:space="preserve"> The receiving party uses and discloses protected health information only as this agreement permits, as required by law, or for its proper management and administration, and not in a way that would breach the Privacy Rule if done by the disclosing party.</w:t>
      </w:r>
    </w:p>
    <w:p>
      <w:r>
        <w:rPr>
          <w:b w:val="0"/>
          <w:i w:val="0"/>
        </w:rPr>
        <w:t xml:space="preserve">4.2 </w:t>
      </w:r>
      <w:r>
        <w:rPr>
          <w:b/>
        </w:rPr>
        <w:t>Minimum necessary.</w:t>
      </w:r>
      <w:r>
        <w:rPr>
          <w:b w:val="0"/>
          <w:i w:val="0"/>
        </w:rPr>
        <w:t xml:space="preserve"> The receiving party limits its uses, disclosures and requests of protected health information to the minimum necessary for the purpose.</w:t>
      </w:r>
    </w:p>
    <w:p>
      <w:r>
        <w:rPr>
          <w:b w:val="0"/>
          <w:i w:val="0"/>
        </w:rPr>
        <w:t xml:space="preserve">4.3 </w:t>
      </w:r>
      <w:r>
        <w:rPr>
          <w:b/>
        </w:rPr>
        <w:t>Safeguards.</w:t>
      </w:r>
      <w:r>
        <w:rPr>
          <w:b w:val="0"/>
          <w:i w:val="0"/>
        </w:rPr>
        <w:t xml:space="preserve"> The receiving party implements administrative, physical and technical safeguards that reasonably and appropriately protect the confidentiality, integrity and availability of electronic protected health information, as the Security Rule requires.</w:t>
      </w:r>
    </w:p>
    <w:p>
      <w:r>
        <w:rPr>
          <w:b w:val="0"/>
          <w:i w:val="0"/>
        </w:rPr>
        <w:t xml:space="preserve">4.4 </w:t>
      </w:r>
      <w:r>
        <w:rPr>
          <w:b/>
        </w:rPr>
        <w:t>Subcontractors.</w:t>
      </w:r>
      <w:r>
        <w:rPr>
          <w:b w:val="0"/>
          <w:i w:val="0"/>
        </w:rPr>
        <w:t xml:space="preserve"> The receiving party ensures that any subcontractor that handles protected health information agrees in writing to the same restrictions and conditions that apply to the receiving party.</w:t>
      </w:r>
    </w:p>
    <w:p>
      <w:r>
        <w:rPr>
          <w:b w:val="0"/>
          <w:i w:val="0"/>
        </w:rPr>
        <w:t xml:space="preserve">4.5 </w:t>
      </w:r>
      <w:r>
        <w:rPr>
          <w:b/>
        </w:rPr>
        <w:t>Reporting.</w:t>
      </w:r>
      <w:r>
        <w:rPr>
          <w:b w:val="0"/>
          <w:i w:val="0"/>
        </w:rPr>
        <w:t xml:space="preserve"> The receiving party reports to the disclosing party any use or disclosure not permitted by this agreement, any security incident, and any breach of unsecured protected health information, without unreasonable delay and no later than [number] days after discovery, with the information the disclosing party needs to make its own notifications.</w:t>
      </w:r>
    </w:p>
    <w:p>
      <w:r>
        <w:rPr>
          <w:b w:val="0"/>
          <w:i w:val="0"/>
        </w:rPr>
        <w:t xml:space="preserve">4.6 </w:t>
      </w:r>
      <w:r>
        <w:rPr>
          <w:b/>
        </w:rPr>
        <w:t>Individual rights.</w:t>
      </w:r>
      <w:r>
        <w:rPr>
          <w:b w:val="0"/>
          <w:i w:val="0"/>
        </w:rPr>
        <w:t xml:space="preserve"> The receiving party makes protected health information available so that the disclosing party can meet an individual's rights of access, amendment and accounting of disclosures, within the time the disclosing party requests.</w:t>
      </w:r>
    </w:p>
    <w:p>
      <w:r>
        <w:rPr>
          <w:b w:val="0"/>
          <w:i w:val="0"/>
        </w:rPr>
        <w:t xml:space="preserve">4.7 </w:t>
      </w:r>
      <w:r>
        <w:rPr>
          <w:b/>
        </w:rPr>
        <w:t>Access for compliance.</w:t>
      </w:r>
      <w:r>
        <w:rPr>
          <w:b w:val="0"/>
          <w:i w:val="0"/>
        </w:rPr>
        <w:t xml:space="preserve"> The receiving party makes its internal practices, books and records relating to protected health information available to the Department of Health and Human Services for determining compliance.</w:t>
      </w:r>
    </w:p>
    <w:p>
      <w:r>
        <w:rPr>
          <w:b w:val="0"/>
          <w:i w:val="0"/>
        </w:rPr>
        <w:t xml:space="preserve">4.8 </w:t>
      </w:r>
      <w:r>
        <w:rPr>
          <w:b/>
        </w:rPr>
        <w:t>Return or destruction.</w:t>
      </w:r>
      <w:r>
        <w:rPr>
          <w:b w:val="0"/>
          <w:i w:val="0"/>
        </w:rPr>
        <w:t xml:space="preserve"> On termination, the receiving party returns or destroys all protected health information it holds for the disclosing party, where feasible, and extends the protections of this agreement to any information it cannot return or destroy.</w:t>
      </w:r>
    </w:p>
    <w:p>
      <w:pPr>
        <w:pStyle w:val="Heading1"/>
      </w:pPr>
      <w:r>
        <w:t>5. Obligations of the disclosing party</w:t>
      </w:r>
    </w:p>
    <w:p>
      <w:r>
        <w:rPr>
          <w:b w:val="0"/>
          <w:i w:val="0"/>
        </w:rPr>
        <w:t>The disclosing party notifies the receiving party of any limitation in its notice of privacy practices, any change in or revocation of an individual's permission, and any restriction the disclosing party has agreed, to the extent these affect the receiving party's use or disclosure.</w:t>
      </w:r>
    </w:p>
    <w:p>
      <w:pPr>
        <w:pStyle w:val="Heading1"/>
      </w:pPr>
      <w:r>
        <w:t>6. Term and termination</w:t>
      </w:r>
    </w:p>
    <w:p>
      <w:r>
        <w:rPr>
          <w:b w:val="0"/>
          <w:i w:val="0"/>
        </w:rPr>
        <w:t>This agreement takes effect on [date] and continues until all protected health information is returned or destroyed. The disclosing party may terminate it if the receiving party breaches a material term and does not cure the breach within [number] days.</w:t>
      </w:r>
    </w:p>
    <w:p>
      <w:pPr>
        <w:pStyle w:val="Heading1"/>
      </w:pPr>
      <w:r>
        <w:t>7. Signatures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Party</w:t>
            </w:r>
          </w:p>
        </w:tc>
        <w:tc>
          <w:tcPr>
            <w:tcW w:type="dxa" w:w="1949"/>
            <w:shd w:val="clear" w:color="auto" w:fill="EEF3F8"/>
          </w:tcPr>
          <w:p>
            <w:pPr>
              <w:spacing w:after="40"/>
            </w:pPr>
            <w:r>
              <w:rPr>
                <w:b/>
                <w:i w:val="0"/>
                <w:sz w:val="19"/>
              </w:rPr>
              <w:t>Name</w:t>
            </w:r>
          </w:p>
        </w:tc>
        <w:tc>
          <w:tcPr>
            <w:tcW w:type="dxa" w:w="1949"/>
            <w:shd w:val="clear" w:color="auto" w:fill="EEF3F8"/>
          </w:tcPr>
          <w:p>
            <w:pPr>
              <w:spacing w:after="40"/>
            </w:pPr>
            <w:r>
              <w:rPr>
                <w:b/>
                <w:i w:val="0"/>
                <w:sz w:val="19"/>
              </w:rPr>
              <w:t>Title</w:t>
            </w:r>
          </w:p>
        </w:tc>
        <w:tc>
          <w:tcPr>
            <w:tcW w:type="dxa" w:w="1949"/>
            <w:shd w:val="clear" w:color="auto" w:fill="EEF3F8"/>
          </w:tcPr>
          <w:p>
            <w:pPr>
              <w:spacing w:after="40"/>
            </w:pPr>
            <w:r>
              <w:rPr>
                <w:b/>
                <w:i w:val="0"/>
                <w:sz w:val="19"/>
              </w:rPr>
              <w:t>Signature</w:t>
            </w:r>
          </w:p>
        </w:tc>
        <w:tc>
          <w:tcPr>
            <w:tcW w:type="dxa" w:w="1949"/>
            <w:shd w:val="clear" w:color="auto" w:fill="EEF3F8"/>
          </w:tcPr>
          <w:p>
            <w:pPr>
              <w:spacing w:after="40"/>
            </w:pPr>
            <w:r>
              <w:rPr>
                <w:b/>
                <w:i w:val="0"/>
                <w:sz w:val="19"/>
              </w:rPr>
              <w:t>Date</w:t>
            </w:r>
          </w:p>
        </w:tc>
      </w:tr>
      <w:tr>
        <w:tc>
          <w:tcPr>
            <w:tcW w:type="dxa" w:w="1949"/>
          </w:tcPr>
          <w:p>
            <w:pPr>
              <w:spacing w:after="40"/>
            </w:pPr>
            <w:r>
              <w:rPr>
                <w:b w:val="0"/>
                <w:i w:val="0"/>
                <w:sz w:val="19"/>
              </w:rPr>
              <w:t>Disclosing party</w:t>
            </w:r>
          </w:p>
        </w:tc>
        <w:tc>
          <w:tcPr>
            <w:tcW w:type="dxa" w:w="1949"/>
          </w:tcPr>
          <w:p>
            <w:pPr>
              <w:spacing w:after="40"/>
            </w:pPr>
            <w:r>
              <w:rPr>
                <w:b w:val="0"/>
                <w:i w:val="0"/>
                <w:sz w:val="19"/>
              </w:rPr>
              <w:t>[Name]</w:t>
            </w:r>
          </w:p>
        </w:tc>
        <w:tc>
          <w:tcPr>
            <w:tcW w:type="dxa" w:w="1949"/>
          </w:tcPr>
          <w:p>
            <w:pPr>
              <w:spacing w:after="40"/>
            </w:pPr>
            <w:r>
              <w:rPr>
                <w:b w:val="0"/>
                <w:i w:val="0"/>
                <w:sz w:val="19"/>
              </w:rPr>
              <w:t>[Title]</w:t>
            </w:r>
          </w:p>
        </w:tc>
        <w:tc>
          <w:tcPr>
            <w:tcW w:type="dxa" w:w="1949"/>
          </w:tcPr>
          <w:p>
            <w:pPr>
              <w:spacing w:after="40"/>
            </w:pPr>
          </w:p>
        </w:tc>
        <w:tc>
          <w:tcPr>
            <w:tcW w:type="dxa" w:w="1949"/>
          </w:tcPr>
          <w:p>
            <w:pPr>
              <w:spacing w:after="40"/>
            </w:pPr>
          </w:p>
        </w:tc>
      </w:tr>
      <w:tr>
        <w:tc>
          <w:tcPr>
            <w:tcW w:type="dxa" w:w="1949"/>
          </w:tcPr>
          <w:p>
            <w:pPr>
              <w:spacing w:after="40"/>
            </w:pPr>
            <w:r>
              <w:rPr>
                <w:b w:val="0"/>
                <w:i w:val="0"/>
                <w:sz w:val="19"/>
              </w:rPr>
              <w:t>Receiving party</w:t>
            </w:r>
          </w:p>
        </w:tc>
        <w:tc>
          <w:tcPr>
            <w:tcW w:type="dxa" w:w="1949"/>
          </w:tcPr>
          <w:p>
            <w:pPr>
              <w:spacing w:after="40"/>
            </w:pPr>
            <w:r>
              <w:rPr>
                <w:b w:val="0"/>
                <w:i w:val="0"/>
                <w:sz w:val="19"/>
              </w:rPr>
              <w:t>[Name]</w:t>
            </w:r>
          </w:p>
        </w:tc>
        <w:tc>
          <w:tcPr>
            <w:tcW w:type="dxa" w:w="1949"/>
          </w:tcPr>
          <w:p>
            <w:pPr>
              <w:spacing w:after="40"/>
            </w:pPr>
            <w:r>
              <w:rPr>
                <w:b w:val="0"/>
                <w:i w:val="0"/>
                <w:sz w:val="19"/>
              </w:rPr>
              <w:t>[Title]</w:t>
            </w:r>
          </w:p>
        </w:tc>
        <w:tc>
          <w:tcPr>
            <w:tcW w:type="dxa" w:w="1949"/>
          </w:tcPr>
          <w:p>
            <w:pPr>
              <w:spacing w:after="40"/>
            </w:pPr>
          </w:p>
        </w:tc>
        <w:tc>
          <w:tcPr>
            <w:tcW w:type="dxa" w:w="1949"/>
          </w:tcPr>
          <w:p>
            <w:pPr>
              <w:spacing w:after="40"/>
            </w:pPr>
          </w:p>
        </w:tc>
      </w:tr>
    </w:tbl>
    <w:p/>
    <w:p>
      <w:pPr>
        <w:pStyle w:val="Heading1"/>
      </w:pPr>
      <w:r>
        <w:t>8. Related documents</w:t>
      </w:r>
    </w:p>
    <w:p>
      <w:pPr>
        <w:pStyle w:val="ListBullet"/>
      </w:pPr>
      <w:r>
        <w:rPr>
          <w:b w:val="0"/>
          <w:i w:val="0"/>
        </w:rPr>
        <w:t>HIPAA-POL-01 HIPAA privacy policy</w:t>
      </w:r>
    </w:p>
    <w:p>
      <w:pPr>
        <w:pStyle w:val="ListBullet"/>
      </w:pPr>
      <w:r>
        <w:rPr>
          <w:b w:val="0"/>
          <w:i w:val="0"/>
        </w:rPr>
        <w:t>HIPAA-POL-02 HIPAA security policy</w:t>
      </w:r>
    </w:p>
    <w:p>
      <w:pPr>
        <w:pStyle w:val="ListBullet"/>
      </w:pPr>
      <w:r>
        <w:rPr>
          <w:b w:val="0"/>
          <w:i w:val="0"/>
        </w:rPr>
        <w:t>HIPAA-REG-02 Business associate register</w:t>
      </w:r>
    </w:p>
    <w:p>
      <w:pPr>
        <w:pStyle w:val="ListBullet"/>
      </w:pPr>
      <w:r>
        <w:rPr>
          <w:b w:val="0"/>
          <w:i w:val="0"/>
        </w:rPr>
        <w:t>GOV-PRO-06 Supplier and third party security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HIPAA-TPL-01  |  Business associate agreement template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