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2A4A"/>
          <w:spacing w:val="20"/>
          <w:sz w:val="40"/>
          <w:szCs w:val="40"/>
        </w:rPr>
        <w:t xml:space="preserve">ABDULLAH WAGIH IBRAHIM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F7A5C"/>
          <w:sz w:val="24"/>
          <w:szCs w:val="24"/>
        </w:rPr>
        <w:t xml:space="preserve">AI &amp; Machine Learning Instructor  |  Technical Curriculum Designer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Cairo, Egypt   |   +20 100 214 3879   |   </w:t>
      </w:r>
      <w:hyperlink w:history="1" r:id="rId0qtwzojyg3u-uuovx2b8p">
        <w:r>
          <w:rPr>
            <w:rFonts w:ascii="Calibri" w:cs="Calibri" w:eastAsia="Calibri" w:hAnsi="Calibri"/>
            <w:color w:val="1F7A5C"/>
            <w:sz w:val="18"/>
            <w:szCs w:val="18"/>
            <w:u w:val="single"/>
          </w:rPr>
          <w:t xml:space="preserve">abdullawagih1@gmail.com</w:t>
        </w:r>
      </w:hyperlink>
    </w:p>
    <w:p>
      <w:pPr>
        <w:spacing w:after="200"/>
        <w:jc w:val="center"/>
      </w:pPr>
      <w:hyperlink w:history="1" r:id="rIdfgsy5c2dtznlxuuuxzsea">
        <w:r>
          <w:rPr>
            <w:rFonts w:ascii="Calibri" w:cs="Calibri" w:eastAsia="Calibri" w:hAnsi="Calibri"/>
            <w:color w:val="1F7A5C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lgmfabwov94aw32yefh31">
        <w:r>
          <w:rPr>
            <w:rFonts w:ascii="Calibri" w:cs="Calibri" w:eastAsia="Calibri" w:hAnsi="Calibri"/>
            <w:color w:val="1F7A5C"/>
            <w:sz w:val="18"/>
            <w:szCs w:val="18"/>
            <w:u w:val="single"/>
          </w:rPr>
          <w:t xml:space="preserve">linkedin.com/in/abdullah-wagih</w:t>
        </w:r>
      </w:hyperlink>
    </w:p>
    <w:p>
      <w:pPr>
        <w:pBdr>
          <w:bottom w:val="single" w:color="C9CFDA" w:sz="6" w:space="1"/>
        </w:pBdr>
        <w:spacing w:after="140"/>
      </w:pP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&amp; Machine Learning Instructor with 3+ years of experience designing and delivering hands-on curricula in NLP, LLMs, deep learning, and computer vision to university students, industry trainees, and career-changers. Trained 500+ learners across 4 institutions ([X]+ teaching hours), combining strong theoretical grounding with real-world project design. Simultaneously active as a practicing AI Solution Architect building production AI systems for enterprise clients — bringing current, industry-grade practice directly into the classroom.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TEACHING PHILOSOPHY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I teach the way I build: project-first. Every concept is anchored to a real, working system — a fraud-detection model, a medical image classifier, a RAG pipeline — so learners leave with something they built, not just something they understood. Because I actively practice as an AI Architect, my labs reflect current industry tooling and real production constraints rather than textbook simplifications.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TEACHING EXPERIENCE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AI Instructor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Digital Egypt Pioneers Initiative (DEPI), Cairo, Egypt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Oct 2024 – Present</w:t>
      </w:r>
      <w:r>
        <w:rPr>
          <w:rFonts w:ascii="Calibri" w:cs="Calibri" w:eastAsia="Calibri" w:hAnsi="Calibri"/>
          <w:color w:val="C9CFDA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Part-time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Teach NLP and LLM-driven application development to university students and industry trainees, covering Transformer architectures, encoder-decoder models, embeddings, and RAG in hands-on labs.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led real-world NLP capstone projects in healthcare and finance using Python and deep learning frameworks, guiding [X]+ trainees per cohort.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AI Instructor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Instant Software Solutions, Giza, Egypt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2023 – Present</w:t>
      </w:r>
      <w:r>
        <w:rPr>
          <w:rFonts w:ascii="Calibri" w:cs="Calibri" w:eastAsia="Calibri" w:hAnsi="Calibri"/>
          <w:color w:val="C9CFDA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Part-time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and deliver foundational-to-advanced machine learning and AI curricula, tailoring depth and pacing for both beginner and professional cohorts.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hands-on workshop modules: regression analysis for sales prediction, k-means clustering for customer segmentation, and CNN/RNN labs for image recognition and time-series forecasting.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Provide one-on-one mentorship, helping students debug real project workflows and develop independent problem-solving skills.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AI Instructor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AMIT Learning, Cairo, Egypt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2023 – Oct 2025</w:t>
      </w:r>
      <w:r>
        <w:rPr>
          <w:rFonts w:ascii="Calibri" w:cs="Calibri" w:eastAsia="Calibri" w:hAnsi="Calibri"/>
          <w:color w:val="C9CFDA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Part-time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industry-relevant training in machine learning, computer vision, and NLP, including a fraud-detection curriculum (logistic regression, decision trees) and a TensorFlow-based medical image classification module.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Hosted live coding sessions on hyperparameter tuning and feature engineering for [N]+ trainees, with consistently strong learner feedback.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CURRICULA &amp; WORKSHOPS DESIGNED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NLP &amp; LLM Applications — Transformers, embeddings, RAG, encoder-decoder architectures (DEPI)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Machine Learning Foundations — regression, clustering, feature engineering (Instant Software Solutions)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Deep Learning for Computer Vision — CNNs for medical image classification (AMIT Learning)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Fraud Detection with Classical ML — logistic regression &amp; decision trees (AMIT Learning)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TECHNICAL LEADERSHIP IN EDUCATION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Lead Mentor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BraTS Instance Image Segmentation Hackathon, Cairo, Egypt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the challenge workflow, evaluation criteria, and participant guidance for a medical AI hackathon on instance segmentation, in partnership with Orange Digital Center (ODC) and Instant Software Solutions.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Lead Mentor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AI Clinical Decision Support Lite Hackathon, Cairo, Egypt</w:t>
      </w:r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Defined challenge scope, evaluation criteria, and mentoring process for a healthcare AI hackathon, under the supervision of the Ministry of Communications and Information Technology (MCIT) and Orange Digital Center (ODC).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PRACTICING INDUSTRY BACKGROUND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Active AI Solution Architect (Rubix, Cairo) and AI Team Leader (Vitamera, KSA), currently architecting production LLM, RAG, and AI-agent systems for enterprise clients across healthcare, logistics, and real estate. Full project and architecture portfolio available in a dedicated Technical CV.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Bachelor's Degree in Computer Science</w:t>
      </w:r>
      <w:r>
        <w:rPr>
          <w:rFonts w:ascii="Calibri" w:cs="Calibri" w:eastAsia="Calibri" w:hAnsi="Calibri"/>
          <w:color w:val="1B2A4A"/>
          <w:sz w:val="22"/>
          <w:szCs w:val="22"/>
        </w:rPr>
        <w:t xml:space="preserve">  —  Zagazig University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Sep 2019 – Jul 2023</w:t>
      </w:r>
      <w:r>
        <w:rPr>
          <w:rFonts w:ascii="Calibri" w:cs="Calibri" w:eastAsia="Calibri" w:hAnsi="Calibri"/>
          <w:color w:val="C9CFDA"/>
          <w:sz w:val="19"/>
          <w:szCs w:val="19"/>
        </w:rPr>
        <w:t xml:space="preserve">   |   </w:t>
      </w: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Specialization: Medical Informatics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PUBLICATIONS</w:t>
      </w:r>
    </w:p>
    <w:p>
      <w:pPr>
        <w:spacing w:after="20"/>
      </w:pPr>
      <w:hyperlink w:history="1" r:id="rIdj_fcdaxfdt7ssnyabfv5x">
        <w:r>
          <w:rPr>
            <w:rFonts w:ascii="Calibri" w:cs="Calibri" w:eastAsia="Calibri" w:hAnsi="Calibri"/>
            <w:b/>
            <w:bCs/>
            <w:color w:val="1F7A5C"/>
            <w:sz w:val="21"/>
            <w:szCs w:val="21"/>
            <w:u w:val="single"/>
          </w:rPr>
          <w:t xml:space="preserve">Automated Blood Cancer Detection Models Based on Transfer Learning</w:t>
        </w:r>
      </w:hyperlink>
    </w:p>
    <w:p>
      <w:pPr>
        <w:pStyle w:val="ListParagraph"/>
        <w:numPr>
          <w:ilvl w:val="0"/>
          <w:numId w:val="2"/>
        </w:numPr>
        <w:spacing w:after="45" w:line="2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Indonesian Journal of Electrical Engineering and Computer Science, 2024 — used in classroom discussion as a real-world transfer-learning case study.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Instructional: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Curriculum Design, Hands-On Lab Design, Live Coding, One-on-One Mentorship, Technical Presentation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Technical Subjects Taught: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NLP, LLMs, RAG, Transformers, Computer Vision, Classical ML, Deep Learning (CNNs/RNNs)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TensorFlow, Scikit-learn, Jupyter, Git, GitHub</w:t>
      </w:r>
    </w:p>
    <w:p>
      <w:pPr>
        <w:pStyle w:val="Heading1"/>
        <w:pBdr>
          <w:bottom w:val="single" w:color="1F7A5C" w:sz="10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B2A4A"/>
          <w:spacing w:val="20"/>
          <w:sz w:val="22"/>
          <w:szCs w:val="22"/>
        </w:rPr>
        <w:t xml:space="preserve">LANGUAGES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Native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Fluent — Professional Working Proficiency, technical &amp; classroom instruction</w:t>
      </w:r>
    </w:p>
    <w:sectPr>
      <w:pgSz w:w="12240" w:h="15840" w:orient="portrait"/>
      <w:pgMar w:top="550" w:right="850" w:bottom="5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59"/>
      </w:pPr>
      <w:rPr>
        <w:color w:val="1F7A5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qtwzojyg3u-uuovx2b8p" Type="http://schemas.openxmlformats.org/officeDocument/2006/relationships/hyperlink" Target="mailto:abdullawagih1@gmail.com" TargetMode="External"/><Relationship Id="rIdfgsy5c2dtznlxuuuxzsea" Type="http://schemas.openxmlformats.org/officeDocument/2006/relationships/hyperlink" Target="https://www.datascienceportfol.io/abdullawagih1" TargetMode="External"/><Relationship Id="rIdlgmfabwov94aw32yefh31" Type="http://schemas.openxmlformats.org/officeDocument/2006/relationships/hyperlink" Target="https://www.linkedin.com/in/abdullah-wagih/" TargetMode="External"/><Relationship Id="rIdj_fcdaxfdt7ssnyabfv5x" Type="http://schemas.openxmlformats.org/officeDocument/2006/relationships/hyperlink" Target="http://doi.org/10.11591/ijeecs.v36.i3.pp1731-1738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2026-08-06T07:55:29.726Z</dcterms:created>
  <dcterms:modified xsi:type="dcterms:W3CDTF">2026-08-06T07:55:29.726Z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