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00" w:before="0"/>
        <w:jc w:val="center"/>
      </w:pPr>
      <w:r>
        <w:rPr>
          <w:rFonts w:ascii="Times New Roman" w:hAnsi="Times New Roman" w:eastAsia="Times New Roman"/>
          <w:b/>
          <w:i w:val="0"/>
          <w:sz w:val="28"/>
        </w:rPr>
        <w:t>DIGITAL TRANSFORMATION AND THE PERFORMANCE OF SMALL AND MEDIUM-SIZED ENTERPRISES: A MANAGEMENT FRAMEWORK AND EVIDENCE FROM EMERGING ASIA</w:t>
      </w:r>
    </w:p>
    <w:p>
      <w:pPr>
        <w:spacing w:line="240" w:lineRule="auto" w:after="40" w:before="0"/>
        <w:jc w:val="center"/>
      </w:pPr>
      <w:r>
        <w:rPr>
          <w:rFonts w:ascii="Times New Roman" w:hAnsi="Times New Roman" w:eastAsia="Times New Roman"/>
          <w:b/>
          <w:i w:val="0"/>
          <w:sz w:val="28"/>
        </w:rPr>
        <w:t>[Author Name], [e-mail]</w:t>
      </w:r>
    </w:p>
    <w:p>
      <w:pPr>
        <w:spacing w:line="240" w:lineRule="auto" w:after="40" w:before="0"/>
        <w:jc w:val="center"/>
      </w:pPr>
      <w:r>
        <w:rPr>
          <w:rFonts w:ascii="Times New Roman" w:hAnsi="Times New Roman" w:eastAsia="Times New Roman"/>
          <w:b/>
          <w:i w:val="0"/>
          <w:sz w:val="28"/>
        </w:rPr>
        <w:t>[Department]</w:t>
      </w:r>
    </w:p>
    <w:p>
      <w:pPr>
        <w:spacing w:line="240" w:lineRule="auto" w:after="240" w:before="0"/>
        <w:jc w:val="center"/>
      </w:pPr>
      <w:r>
        <w:rPr>
          <w:rFonts w:ascii="Times New Roman" w:hAnsi="Times New Roman" w:eastAsia="Times New Roman"/>
          <w:b/>
          <w:i w:val="0"/>
          <w:sz w:val="28"/>
        </w:rPr>
        <w:t>[Institution]</w:t>
      </w:r>
    </w:p>
    <w:p>
      <w:pPr>
        <w:spacing w:line="240" w:lineRule="auto" w:after="160" w:before="0"/>
        <w:jc w:val="both"/>
      </w:pPr>
      <w:r>
        <w:rPr>
          <w:rFonts w:ascii="Times New Roman" w:hAnsi="Times New Roman" w:eastAsia="Times New Roman"/>
          <w:b w:val="0"/>
          <w:i w:val="0"/>
          <w:sz w:val="28"/>
        </w:rPr>
        <w:t>Abstract: Digital transformation is the central management challenge for small and medium-sized enterprises (SMEs), which dominate the economies of emerging Asia yet adopt advanced digital technologies more slowly than large firms. This study develops a management framework explaining how SMEs convert digital technologies into superior performance. Building on the dynamic-capabilities perspective and on the distinction between digitisation, digitalisation and digital transformation, the framework links external drivers to the firm’s sensing, seizing and reconfiguring capabilities, to the depth of the transformation undertaken, and to performance, with a reinvestment feedback loop. The contribution is integrative rather than metric: it embeds firm-level digital-adoption measures in a capability-conditioned model and specifies a moderated relationship — a digital-transformation intensity (DTI) measure interacting with dynamic capability — that can be tested once both constructs are operationalised, which the study sets out using established adoption items and a validated dynamic-capabilities scale. The framework is built through a narrative review, illustrated with a numerical example of the moderation logic, and assessed in light of secondary indicators from emerging Asia, including the ASEAN region and a country vignette of Uzbekistan. In the illustration the performance return to digital adoption is about two-and-a-half times larger at high than at low capability; the analysis identifies managerial skills and finance, rather than connectivity, as the binding constraints for ASEAN and Central Asian SMEs, and derives managerial and policy recommendations accordingly, including a simple capability-threshold diagnostic for public support.</w:t>
      </w:r>
    </w:p>
    <w:p>
      <w:pPr>
        <w:spacing w:line="240" w:lineRule="auto" w:after="80" w:before="0"/>
        <w:jc w:val="both"/>
      </w:pPr>
      <w:r>
        <w:rPr>
          <w:rFonts w:ascii="Times New Roman" w:hAnsi="Times New Roman" w:eastAsia="Times New Roman"/>
          <w:b w:val="0"/>
          <w:i w:val="0"/>
          <w:sz w:val="28"/>
        </w:rPr>
        <w:t>Key words: digital transformation; small and medium-sized enterprises; dynamic capabilities; firm performance; emerging Asia.</w:t>
      </w:r>
    </w:p>
    <w:p>
      <w:pPr>
        <w:spacing w:line="240" w:lineRule="auto" w:after="240" w:before="0"/>
        <w:jc w:val="both"/>
      </w:pPr>
      <w:r>
        <w:rPr>
          <w:rFonts w:ascii="Times New Roman" w:hAnsi="Times New Roman" w:eastAsia="Times New Roman"/>
          <w:b/>
          <w:i w:val="0"/>
          <w:sz w:val="28"/>
        </w:rPr>
        <w:t>JEL: M15, M21, O33, L25, O18, O53.</w:t>
      </w:r>
    </w:p>
    <w:p>
      <w:pPr>
        <w:spacing w:line="360" w:lineRule="auto" w:after="120" w:before="200"/>
        <w:jc w:val="both"/>
      </w:pPr>
      <w:r>
        <w:rPr>
          <w:rFonts w:ascii="Times New Roman" w:hAnsi="Times New Roman" w:eastAsia="Times New Roman"/>
          <w:b/>
          <w:i w:val="0"/>
          <w:sz w:val="28"/>
        </w:rPr>
        <w:t>Introduction</w:t>
      </w:r>
    </w:p>
    <w:p>
      <w:pPr>
        <w:spacing w:line="360" w:lineRule="auto" w:after="120" w:before="0"/>
        <w:ind w:firstLine="432"/>
        <w:jc w:val="both"/>
      </w:pPr>
      <w:r>
        <w:rPr>
          <w:rFonts w:ascii="Times New Roman" w:hAnsi="Times New Roman" w:eastAsia="Times New Roman"/>
          <w:b w:val="0"/>
          <w:i w:val="0"/>
          <w:sz w:val="28"/>
        </w:rPr>
        <w:t>Digital technologies — cloud computing, data analytics, artificial intelligence, e-commerce platforms and connected devices — have moved from being a support function to being the principal arena of competition. For enterprises of every size, the management question is no longer whether to adopt such technologies but how to convert them into durable improvements in performance. This question is most acute for small and medium-sized enterprises (SMEs). In the member states of the Association of Southeast Asian Nations (ASEAN), micro, small and medium-sized enterprises make up on average more than ninety-seven per cent of all firms and provide the large majority of employment (Asian Development Bank, 2023). Yet they adopt advanced digital technologies more slowly than large enterprises and face tighter constraints on finance, skills and managerial capacity (OECD, 2021; Yoshino &amp; Taghizadeh-Hesary, 2016).</w:t>
      </w:r>
    </w:p>
    <w:p>
      <w:pPr>
        <w:spacing w:line="360" w:lineRule="auto" w:after="120" w:before="0"/>
        <w:ind w:firstLine="432"/>
        <w:jc w:val="both"/>
      </w:pPr>
      <w:r>
        <w:rPr>
          <w:rFonts w:ascii="Times New Roman" w:hAnsi="Times New Roman" w:eastAsia="Times New Roman"/>
          <w:b w:val="0"/>
          <w:i w:val="0"/>
          <w:sz w:val="28"/>
        </w:rPr>
        <w:t>The literature has clarified what digital transformation is, but it has paid less attention to the managerial mechanisms through which a resource-constrained SME in an emerging economy turns technology into results. Digital transformation is an organisational change process in which digital technologies reshape value creation, operations and the business model itself (Vial, 2019; Verhoef et al., 2021), and recent comprehensive reviews stress that its outcomes hinge on managerial and organisational factors rather than on technology adoption alone (Hanelt et al., 2021; Kraus et al., 2022). Whether the process raises performance depends on the capabilities the firm can mobilise around it (Teece, 2007; Warner &amp; Wäger, 2019), and SME-focused reviews report that transformation levels in smaller firms remain low and that the field still lacks process-level guidance (de Mattos et al., 2024; Sagala &amp; Őri, 2024).</w:t>
      </w:r>
    </w:p>
    <w:p>
      <w:pPr>
        <w:spacing w:line="360" w:lineRule="auto" w:after="120" w:before="0"/>
        <w:ind w:firstLine="432"/>
        <w:jc w:val="both"/>
      </w:pPr>
      <w:r>
        <w:rPr>
          <w:rFonts w:ascii="Times New Roman" w:hAnsi="Times New Roman" w:eastAsia="Times New Roman"/>
          <w:b w:val="0"/>
          <w:i w:val="0"/>
          <w:sz w:val="28"/>
        </w:rPr>
        <w:t>This study addresses that gap with a management framework connecting the external drivers of digital transformation, the dynamic capabilities of the firm, the depth of the transformation undertaken and the resulting performance, closed by a reinvestment feedback loop. Its contribution is integrative rather than the proposal of a new metric. Firm-level digital adoption is already measured — for example by the World Bank Enterprise Surveys, by the European digital-intensity indicators and in survey studies such as Teng, Wu and Yang (2022). What the framework adds is, first, to embed such adoption measures in an explicit capability-conditioned causal structure; second, to state the often-asserted claim that “technology alone is not enough” as a moderated relationship with a clear empirical test (the interaction between digital-transformation intensity and dynamic capability); and third, to apply the framework to emerging Asia — the ASEAN region and the under-researched economies of Central Asia, with Uzbekistan as a country vignette — where firm-level evidence is comparatively thin.</w:t>
      </w:r>
    </w:p>
    <w:p>
      <w:pPr>
        <w:spacing w:line="360" w:lineRule="auto" w:after="120" w:before="0"/>
        <w:ind w:firstLine="432"/>
        <w:jc w:val="both"/>
      </w:pPr>
      <w:r>
        <w:rPr>
          <w:rFonts w:ascii="Times New Roman" w:hAnsi="Times New Roman" w:eastAsia="Times New Roman"/>
          <w:b w:val="0"/>
          <w:i w:val="0"/>
          <w:sz w:val="28"/>
        </w:rPr>
        <w:t>The remainder of the article is organised as follows. Section 1 reviews the literature and defines the core constructs. Section 2 presents the framework, the measures and the estimable specification. Section 3 describes the data, the operationalisation of the constructs and the estimation strategy. Section 4 reports a numerical illustration of the moderation logic and the regional indicators, including the Uzbekistan vignette. Section 5 discusses the management and policy implications. The final section concludes.</w:t>
      </w:r>
    </w:p>
    <w:p>
      <w:pPr>
        <w:spacing w:line="360" w:lineRule="auto" w:after="120" w:before="200"/>
        <w:jc w:val="both"/>
      </w:pPr>
      <w:r>
        <w:rPr>
          <w:rFonts w:ascii="Times New Roman" w:hAnsi="Times New Roman" w:eastAsia="Times New Roman"/>
          <w:b/>
          <w:i w:val="0"/>
          <w:sz w:val="28"/>
        </w:rPr>
        <w:t>1. Theoretical background and literature review</w:t>
      </w:r>
    </w:p>
    <w:p>
      <w:pPr>
        <w:spacing w:line="360" w:lineRule="auto" w:after="120" w:before="0"/>
        <w:ind w:firstLine="432"/>
        <w:jc w:val="both"/>
      </w:pPr>
      <w:r>
        <w:rPr>
          <w:rFonts w:ascii="Times New Roman" w:hAnsi="Times New Roman" w:eastAsia="Times New Roman"/>
          <w:b w:val="0"/>
          <w:i w:val="0"/>
          <w:sz w:val="28"/>
        </w:rPr>
        <w:t>Research distinguishes three increasingly profound stages of digital change. Digitisation is the conversion of analogue information into digital form; digitalisation is the use of digital technologies to improve existing processes; and digital transformation is the deeper, firm-wide change in which technology reconfigures value creation and the business model (Verhoef et al., 2021). Vial (2019) defines digital transformation as a process in which digital technologies trigger strategic responses that alter value-creation paths while the firm manages structural change and organisational barriers; large-scale reviews confirm this organisational-change reading and the centrality of strategy and leadership, noting that firms widely recognise digital technology as a strategic imperative yet struggle to execute it (Hanelt et al., 2021; Kraus et al., 2022). The implication for management is that technology alone does not deliver value; the value comes from the organisational changes that accompany it.</w:t>
      </w:r>
    </w:p>
    <w:p>
      <w:pPr>
        <w:spacing w:line="360" w:lineRule="auto" w:after="120" w:before="0"/>
        <w:ind w:firstLine="432"/>
        <w:jc w:val="both"/>
      </w:pPr>
      <w:r>
        <w:rPr>
          <w:rFonts w:ascii="Times New Roman" w:hAnsi="Times New Roman" w:eastAsia="Times New Roman"/>
          <w:b w:val="0"/>
          <w:i w:val="0"/>
          <w:sz w:val="28"/>
        </w:rPr>
        <w:t>The dynamic-capabilities perspective explains why firms facing the same technologies achieve different results. Teece (2007) decomposes the capacity to sustain performance into sensing opportunities and threats, seizing them through investment and business-model choices, and reconfiguring (transforming) the resource base accordingly. Warner and Wäger (2019) show that digital transformation is precisely an ongoing process of strategic renewal in which these capabilities are built and rebuilt, and Kump, Engelmann, Kessler and Schweiger (2019) provide a validated survey scale that measures sensing, seizing and transforming capacities separately. Bharadwaj, El Sawy, Pavlou and Venkatraman (2013) argue that digital strategy must be fused with business strategy, and Westerman, Bonnet and McAfee (2014) add that the binding constraint is usually leadership and management capability rather than technology as such.</w:t>
      </w:r>
    </w:p>
    <w:p>
      <w:pPr>
        <w:spacing w:line="360" w:lineRule="auto" w:after="120" w:before="0"/>
        <w:ind w:firstLine="432"/>
        <w:jc w:val="both"/>
      </w:pPr>
      <w:r>
        <w:rPr>
          <w:rFonts w:ascii="Times New Roman" w:hAnsi="Times New Roman" w:eastAsia="Times New Roman"/>
          <w:b w:val="0"/>
          <w:i w:val="0"/>
          <w:sz w:val="28"/>
        </w:rPr>
        <w:t>A further strand explains how the adoption of a specific technology is decided, and it feeds directly into the framework’s measures. The technology acceptance model relates adoption to perceived usefulness and perceived ease of use (Davis, 1989), and the unified theory of acceptance and use of technology adds performance and effort expectancy, social influence and facilitating conditions (Venkatesh, Morris, Davis &amp; Davis, 2003); both inform the items that make up the adoption levels aggregated in the digital-transformation intensity measure below, and managerial acceptance is itself part of the sensing and seizing capability. At the organisational level, the technology–organisation–environment framework situates adoption in the interplay of technological readiness, organisational resources and the external environment (Tornatzky &amp; Fleischer, 1990), which maps onto the framework’s capability and driver blocks respectively. For SMEs in emerging economies these models matter because the adoption decision is concentrated in a small management team and is highly sensitive to skills, cost and the surrounding digital ecosystem.</w:t>
      </w:r>
    </w:p>
    <w:p>
      <w:pPr>
        <w:spacing w:line="360" w:lineRule="auto" w:after="120" w:before="0"/>
        <w:ind w:firstLine="432"/>
        <w:jc w:val="both"/>
      </w:pPr>
      <w:r>
        <w:rPr>
          <w:rFonts w:ascii="Times New Roman" w:hAnsi="Times New Roman" w:eastAsia="Times New Roman"/>
          <w:b w:val="0"/>
          <w:i w:val="0"/>
          <w:sz w:val="28"/>
        </w:rPr>
        <w:t>Recent empirical and policy work sharpens the picture. Teng et al. (2022), using a structural-equation model on 335 SMEs, find that digital technology, employee digital skills and a digital-transformation strategy are jointly and positively associated with transformation and, through it, with performance — evidence consistent with a capability-conditioned view and with an interaction between technology and capability. The policy-oriented literature documents the SME-specific barriers — scarce skills, limited finance and uncertainty about returns (OECD, 2021; Yoshino &amp; Taghizadeh-Hesary, 2016) — and Nambisan, Wright and Feldman (2019) note that digital technologies also reshape innovation and entrepreneurship themselves, raising the premium on digital capability. This body of work motivates a framework in which drivers, firm-level capabilities and the depth of transformation jointly determine performance, and a specification that can be tested.</w:t>
      </w:r>
    </w:p>
    <w:p>
      <w:pPr>
        <w:spacing w:line="360" w:lineRule="auto" w:after="120" w:before="200"/>
        <w:jc w:val="both"/>
      </w:pPr>
      <w:r>
        <w:rPr>
          <w:rFonts w:ascii="Times New Roman" w:hAnsi="Times New Roman" w:eastAsia="Times New Roman"/>
          <w:b/>
          <w:i w:val="0"/>
          <w:sz w:val="28"/>
        </w:rPr>
        <w:t>2. Framework, measures and estimable specification</w:t>
      </w:r>
    </w:p>
    <w:p>
      <w:pPr>
        <w:spacing w:line="360" w:lineRule="auto" w:after="120" w:before="0"/>
        <w:ind w:firstLine="432"/>
        <w:jc w:val="both"/>
      </w:pPr>
      <w:r>
        <w:rPr>
          <w:rFonts w:ascii="Times New Roman" w:hAnsi="Times New Roman" w:eastAsia="Times New Roman"/>
          <w:b w:val="0"/>
          <w:i w:val="0"/>
          <w:sz w:val="28"/>
        </w:rPr>
        <w:t>The framework links four blocks in sequence, with a feedback loop (Figure 1). The first block is the set of external drivers: market and competitive pressure, the availability and cost of digital technologies, and the policy environment, including funding and regulation. Drivers create the incentive and the opportunity to transform, but they do not determine the outcome.</w:t>
      </w:r>
    </w:p>
    <w:p>
      <w:pPr>
        <w:spacing w:line="360" w:lineRule="auto" w:after="120" w:before="0"/>
        <w:ind w:firstLine="432"/>
        <w:jc w:val="both"/>
      </w:pPr>
      <w:r>
        <w:rPr>
          <w:rFonts w:ascii="Times New Roman" w:hAnsi="Times New Roman" w:eastAsia="Times New Roman"/>
          <w:b w:val="0"/>
          <w:i w:val="0"/>
          <w:sz w:val="28"/>
        </w:rPr>
        <w:t>The second block is the firm’s dynamic capabilities. Following Teece (2007), an SME senses digital opportunities and threats, seizes them by investing in technology and adjusting its business model, and reconfigures its processes, skills and structure so that the technology is actually used. The third block is the depth of the transformation undertaken, from digitisation through digitalisation to business-model change (Verhoef et al., 2021). The fourth block is performance: productivity, growth and export reach, and resilience. A feedback loop closes the framework: performance gains generate resources that are reinvested in further capability building and technology, as shown by the return arrow from performance to capabilities in Figure 1.</w:t>
      </w:r>
    </w:p>
    <w:p>
      <w:pPr>
        <w:spacing w:line="360" w:lineRule="auto" w:after="40" w:before="120"/>
        <w:jc w:val="center"/>
      </w:pPr>
      <w:r>
        <w:drawing>
          <wp:inline xmlns:a="http://schemas.openxmlformats.org/drawingml/2006/main" xmlns:pic="http://schemas.openxmlformats.org/drawingml/2006/picture">
            <wp:extent cx="5486400" cy="307764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486400" cy="3077645"/>
                    </a:xfrm>
                    <a:prstGeom prst="rect"/>
                  </pic:spPr>
                </pic:pic>
              </a:graphicData>
            </a:graphic>
          </wp:inline>
        </w:drawing>
      </w:r>
    </w:p>
    <w:p>
      <w:pPr>
        <w:spacing w:line="240" w:lineRule="auto" w:after="40" w:before="0"/>
        <w:jc w:val="center"/>
      </w:pPr>
      <w:r>
        <w:rPr>
          <w:rFonts w:ascii="Times New Roman" w:hAnsi="Times New Roman" w:eastAsia="Times New Roman"/>
          <w:b/>
          <w:i w:val="0"/>
          <w:sz w:val="24"/>
        </w:rPr>
        <w:t>Figure 1. A management framework for digital transformation in SMEs</w:t>
      </w:r>
    </w:p>
    <w:p>
      <w:pPr>
        <w:spacing w:line="240" w:lineRule="auto" w:after="200" w:before="0"/>
        <w:jc w:val="center"/>
      </w:pPr>
      <w:r>
        <w:rPr>
          <w:rFonts w:ascii="Times New Roman" w:hAnsi="Times New Roman" w:eastAsia="Times New Roman"/>
          <w:b w:val="0"/>
          <w:i/>
          <w:sz w:val="22"/>
        </w:rPr>
        <w:t>Source: Authors’ elaboration based on Teece (2007), Vial (2019) and Verhoef et al. (2021). The dashed arrow denotes the performance feedback loop (reinvestment in capabilities and technology).</w:t>
      </w:r>
    </w:p>
    <w:p>
      <w:pPr>
        <w:spacing w:line="360" w:lineRule="auto" w:after="80" w:before="160"/>
        <w:jc w:val="both"/>
      </w:pPr>
      <w:r>
        <w:rPr>
          <w:rFonts w:ascii="Times New Roman" w:hAnsi="Times New Roman" w:eastAsia="Times New Roman"/>
          <w:b/>
          <w:i/>
          <w:sz w:val="28"/>
        </w:rPr>
        <w:t>2.1. Measuring digital-transformation intensity and capability</w:t>
      </w:r>
    </w:p>
    <w:p>
      <w:pPr>
        <w:spacing w:line="360" w:lineRule="auto" w:after="120" w:before="0"/>
        <w:ind w:firstLine="432"/>
        <w:jc w:val="both"/>
      </w:pPr>
      <w:r>
        <w:rPr>
          <w:rFonts w:ascii="Times New Roman" w:hAnsi="Times New Roman" w:eastAsia="Times New Roman"/>
          <w:b w:val="0"/>
          <w:i w:val="0"/>
          <w:sz w:val="28"/>
        </w:rPr>
        <w:t>Two constructs must be measured. Digital-transformation intensity (DTI) summarises the digital technologies and practices a firm actually uses, as a weighted composite</w:t>
      </w:r>
    </w:p>
    <w:p>
      <w:pPr>
        <w:spacing w:line="360" w:lineRule="auto" w:after="80" w:before="80"/>
        <w:jc w:val="center"/>
      </w:pPr>
      <w:r>
        <w:rPr>
          <w:rFonts w:ascii="Times New Roman" w:hAnsi="Times New Roman" w:eastAsia="Times New Roman"/>
          <w:b w:val="0"/>
          <w:i/>
          <w:sz w:val="28"/>
        </w:rPr>
        <w:t>DTI = Σᵢ wᵢ · aᵢ ,   Σᵢ wᵢ = 1 ,   aᵢ ∈ [0, 1] ,</w:t>
      </w:r>
      <w:r>
        <w:rPr>
          <w:rFonts w:ascii="Times New Roman" w:hAnsi="Times New Roman" w:eastAsia="Times New Roman"/>
          <w:b w:val="0"/>
          <w:i w:val="0"/>
          <w:sz w:val="28"/>
        </w:rPr>
        <w:tab/>
        <w:tab/>
        <w:tab/>
        <w:tab/>
        <w:tab/>
        <w:t>(1)</w:t>
      </w:r>
    </w:p>
    <w:p>
      <w:pPr>
        <w:spacing w:line="360" w:lineRule="auto" w:after="120" w:before="0"/>
        <w:ind w:firstLine="432"/>
        <w:jc w:val="both"/>
      </w:pPr>
      <w:r>
        <w:rPr>
          <w:rFonts w:ascii="Times New Roman" w:hAnsi="Times New Roman" w:eastAsia="Times New Roman"/>
          <w:b w:val="0"/>
          <w:i w:val="0"/>
          <w:sz w:val="28"/>
        </w:rPr>
        <w:t>where aᵢ is the adoption level of digital element i — connectivity, a website or e-commerce channel, digital payments, cloud services, enterprise software, data analytics, artificial intelligence and digital-security measures — and wᵢ is its weight. The elements and items follow established firm-level instruments (the World Bank Enterprise Surveys and the European digital-intensity indicators) and the acceptance literature (Davis, 1989; Venkatesh et al., 2003); the measure is therefore not a new statistic but a transparent aggregation of existing ones for use inside the framework.</w:t>
      </w:r>
    </w:p>
    <w:p>
      <w:pPr>
        <w:spacing w:line="360" w:lineRule="auto" w:after="120" w:before="0"/>
        <w:ind w:firstLine="432"/>
        <w:jc w:val="both"/>
      </w:pPr>
      <w:r>
        <w:rPr>
          <w:rFonts w:ascii="Times New Roman" w:hAnsi="Times New Roman" w:eastAsia="Times New Roman"/>
          <w:b w:val="0"/>
          <w:i w:val="0"/>
          <w:sz w:val="28"/>
        </w:rPr>
        <w:t>Capability (C) is operationalised, rather than left undefined, as the firm’s dynamic capability measured on the validated scale of Kump et al. (2019), which captures sensing (S₁), seizing (S₂) and transforming (S₃) capacities through multi-item managerial-survey constructs. A composite capability index can be formed as</w:t>
      </w:r>
    </w:p>
    <w:p>
      <w:pPr>
        <w:spacing w:line="360" w:lineRule="auto" w:after="80" w:before="80"/>
        <w:jc w:val="center"/>
      </w:pPr>
      <w:r>
        <w:rPr>
          <w:rFonts w:ascii="Times New Roman" w:hAnsi="Times New Roman" w:eastAsia="Times New Roman"/>
          <w:b w:val="0"/>
          <w:i/>
          <w:sz w:val="28"/>
        </w:rPr>
        <w:t>C = (S₁ + S₂ + S₃) / 3 ,   C ∈ [0, 1] ,</w:t>
      </w:r>
      <w:r>
        <w:rPr>
          <w:rFonts w:ascii="Times New Roman" w:hAnsi="Times New Roman" w:eastAsia="Times New Roman"/>
          <w:b w:val="0"/>
          <w:i w:val="0"/>
          <w:sz w:val="28"/>
        </w:rPr>
        <w:tab/>
        <w:tab/>
        <w:tab/>
        <w:tab/>
        <w:tab/>
        <w:t>(2)</w:t>
      </w:r>
    </w:p>
    <w:p>
      <w:pPr>
        <w:spacing w:line="360" w:lineRule="auto" w:after="120" w:before="0"/>
        <w:ind w:firstLine="432"/>
        <w:jc w:val="both"/>
      </w:pPr>
      <w:r>
        <w:rPr>
          <w:rFonts w:ascii="Times New Roman" w:hAnsi="Times New Roman" w:eastAsia="Times New Roman"/>
          <w:b w:val="0"/>
          <w:i w:val="0"/>
          <w:sz w:val="28"/>
        </w:rPr>
        <w:t>where equal weights are a simplifying assumption adopted for exposition; empirical application should verify the factorial structure of the scale (Kump et al., 2019) rather than impose equal weights, and observable complements — managerial digital skills, the presence of an explicit digital strategy, prior technology projects and staff training — are available as proxies where survey access is limited. Both DTI and C are thus measurable with existing, peer-validated instruments.</w:t>
      </w:r>
    </w:p>
    <w:p>
      <w:pPr>
        <w:spacing w:line="360" w:lineRule="auto" w:after="80" w:before="160"/>
        <w:jc w:val="both"/>
      </w:pPr>
      <w:r>
        <w:rPr>
          <w:rFonts w:ascii="Times New Roman" w:hAnsi="Times New Roman" w:eastAsia="Times New Roman"/>
          <w:b/>
          <w:i/>
          <w:sz w:val="28"/>
        </w:rPr>
        <w:t>2.2. The estimable specification</w:t>
      </w:r>
    </w:p>
    <w:p>
      <w:pPr>
        <w:spacing w:line="360" w:lineRule="auto" w:after="120" w:before="0"/>
        <w:ind w:firstLine="432"/>
        <w:jc w:val="both"/>
      </w:pPr>
      <w:r>
        <w:rPr>
          <w:rFonts w:ascii="Times New Roman" w:hAnsi="Times New Roman" w:eastAsia="Times New Roman"/>
          <w:b w:val="0"/>
          <w:i w:val="0"/>
          <w:sz w:val="28"/>
        </w:rPr>
        <w:t>Let ΔP denote the change in a performance measure (for example labour productivity, sales growth or export intensity). The framework’s central claim — that adoption pays off only when matched by capability — is a moderation hypothesis, estimated in the standard interaction form rather than asserted as a pure product:</w:t>
      </w:r>
    </w:p>
    <w:p>
      <w:pPr>
        <w:spacing w:line="360" w:lineRule="auto" w:after="80" w:before="80"/>
        <w:jc w:val="center"/>
      </w:pPr>
      <w:r>
        <w:rPr>
          <w:rFonts w:ascii="Times New Roman" w:hAnsi="Times New Roman" w:eastAsia="Times New Roman"/>
          <w:b w:val="0"/>
          <w:i/>
          <w:sz w:val="28"/>
        </w:rPr>
        <w:t>ΔP = β₀ + β₁·DTI + β₂·C + β₃·(DTI×C) + γ·X + ε ,</w:t>
      </w:r>
      <w:r>
        <w:rPr>
          <w:rFonts w:ascii="Times New Roman" w:hAnsi="Times New Roman" w:eastAsia="Times New Roman"/>
          <w:b w:val="0"/>
          <w:i w:val="0"/>
          <w:sz w:val="28"/>
        </w:rPr>
        <w:tab/>
        <w:tab/>
        <w:tab/>
        <w:tab/>
        <w:tab/>
        <w:t>(3)</w:t>
      </w:r>
    </w:p>
    <w:p>
      <w:pPr>
        <w:spacing w:line="360" w:lineRule="auto" w:after="120" w:before="0"/>
        <w:ind w:firstLine="432"/>
        <w:jc w:val="both"/>
      </w:pPr>
      <w:r>
        <w:rPr>
          <w:rFonts w:ascii="Times New Roman" w:hAnsi="Times New Roman" w:eastAsia="Times New Roman"/>
          <w:b w:val="0"/>
          <w:i w:val="0"/>
          <w:sz w:val="28"/>
        </w:rPr>
        <w:t>where X is a vector of controls (firm size, age, sector, region) and ε is the error term. The interaction term DTI×C is the object of interest: a positive β₃ means the marginal performance return to digital adoption, ∂ΔP/∂DTI = β₁ + β₃·C, rises with capability — the complementarity between technology and capability familiar from absorptive-capacity and complementarity theory and consistent with the structural-equation evidence of Teng et al. (2022). The additive terms β₁ and β₂ are retained precisely because theory does not require a pure product; the sign and size of all four coefficients are empirical questions to be settled by estimation, not assumptions of the model.</w:t>
      </w:r>
    </w:p>
    <w:p>
      <w:pPr>
        <w:spacing w:line="360" w:lineRule="auto" w:after="120" w:before="0"/>
        <w:ind w:firstLine="432"/>
        <w:jc w:val="both"/>
      </w:pPr>
      <w:r>
        <w:rPr>
          <w:rFonts w:ascii="Times New Roman" w:hAnsi="Times New Roman" w:eastAsia="Times New Roman"/>
          <w:b w:val="0"/>
          <w:i w:val="0"/>
          <w:sz w:val="28"/>
        </w:rPr>
        <w:t>For the sole purpose of the numerical illustration in Section 4.1, and making no empirical claim about the additive terms, equation (3) is simplified by setting β₀ = β₁ = β₂ = 0 and β₃ = 1, which isolates and traces only the interaction effect:</w:t>
      </w:r>
    </w:p>
    <w:p>
      <w:pPr>
        <w:spacing w:line="360" w:lineRule="auto" w:after="80" w:before="80"/>
        <w:jc w:val="center"/>
      </w:pPr>
      <w:r>
        <w:rPr>
          <w:rFonts w:ascii="Times New Roman" w:hAnsi="Times New Roman" w:eastAsia="Times New Roman"/>
          <w:b w:val="0"/>
          <w:i/>
          <w:sz w:val="28"/>
        </w:rPr>
        <w:t>ΔP = β₃·(DTI×C)   [illustration only] .</w:t>
      </w:r>
      <w:r>
        <w:rPr>
          <w:rFonts w:ascii="Times New Roman" w:hAnsi="Times New Roman" w:eastAsia="Times New Roman"/>
          <w:b w:val="0"/>
          <w:i w:val="0"/>
          <w:sz w:val="28"/>
        </w:rPr>
        <w:tab/>
        <w:tab/>
        <w:tab/>
        <w:tab/>
        <w:tab/>
        <w:t>(4)</w:t>
      </w:r>
    </w:p>
    <w:p>
      <w:pPr>
        <w:spacing w:line="360" w:lineRule="auto" w:after="120" w:before="200"/>
        <w:jc w:val="both"/>
      </w:pPr>
      <w:r>
        <w:rPr>
          <w:rFonts w:ascii="Times New Roman" w:hAnsi="Times New Roman" w:eastAsia="Times New Roman"/>
          <w:b/>
          <w:i w:val="0"/>
          <w:sz w:val="28"/>
        </w:rPr>
        <w:t>3. Data, operationalisation and estimation strategy</w:t>
      </w:r>
    </w:p>
    <w:p>
      <w:pPr>
        <w:spacing w:line="360" w:lineRule="auto" w:after="120" w:before="0"/>
        <w:ind w:firstLine="432"/>
        <w:jc w:val="both"/>
      </w:pPr>
      <w:r>
        <w:rPr>
          <w:rFonts w:ascii="Times New Roman" w:hAnsi="Times New Roman" w:eastAsia="Times New Roman"/>
          <w:b w:val="0"/>
          <w:i w:val="0"/>
          <w:sz w:val="28"/>
        </w:rPr>
        <w:t>This article is conceptual with an empirical research design specified for testing; it does not itself collect primary data. The framework was developed through a narrative (non-exhaustive) review of the literature: sources were identified through searches of Scopus and Web of Science using the terms “digital transformation”, “SME” and “dynamic capabilities”, supplemented by citation tracking of the key reviews, and were screened for relevance to SMEs and to performance. The review is presented as a narrative synthesis and does not claim the exhaustive search protocol, screening counts or PRISMA reporting of a systematic review.</w:t>
      </w:r>
    </w:p>
    <w:p>
      <w:pPr>
        <w:spacing w:line="360" w:lineRule="auto" w:after="120" w:before="0"/>
        <w:ind w:firstLine="432"/>
        <w:jc w:val="both"/>
      </w:pPr>
      <w:r>
        <w:rPr>
          <w:rFonts w:ascii="Times New Roman" w:hAnsi="Times New Roman" w:eastAsia="Times New Roman"/>
          <w:b w:val="0"/>
          <w:i w:val="0"/>
          <w:sz w:val="28"/>
        </w:rPr>
        <w:t>For testing the specification in equation (3), the constructs are operationalised as follows. DTI is computed from firm-level adoption items of the kind collected in the World Bank Enterprise Surveys — whose 2024 round for Uzbekistan provides a suitable primary, firm-level data source — such as use of a website or e-commerce, e-mail with clients and suppliers, and, in recent rounds, cloud services and digital payments, complemented by the European digital-intensity indicators; equal weights serve as a baseline and entropy- or expert-derived weights as robustness checks. Capability C is measured with the Kump et al. (2019) sensing–seizing–transforming scale administered to owner-managers, with the observable proxies noted in Section 2.1 used where a full survey is infeasible. Performance ΔP is taken from accounts or survey self-reports (productivity, sales growth, export intensity). Equation (3) is then estimated by ordinary least squares with robust standard errors, or by structural-equation modelling when latent constructs are modelled directly, and the moderation is assessed from the sign, size and significance of β₃ and from marginal-effect plots of ∂ΔP/∂DTI across the range of C.</w:t>
      </w:r>
    </w:p>
    <w:p>
      <w:pPr>
        <w:spacing w:line="360" w:lineRule="auto" w:after="120" w:before="0"/>
        <w:ind w:firstLine="432"/>
        <w:jc w:val="both"/>
      </w:pPr>
      <w:r>
        <w:rPr>
          <w:rFonts w:ascii="Times New Roman" w:hAnsi="Times New Roman" w:eastAsia="Times New Roman"/>
          <w:b w:val="0"/>
          <w:i w:val="0"/>
          <w:sz w:val="28"/>
        </w:rPr>
        <w:t>Pending such firm-level estimation, the framework is assessed in light of secondary indicators for emerging Asia drawn from official and institutional sources: the Asian Development Bank (2023, 2024) and the OECD and ERIA (2024) for the ASEAN region; Yoshino and Taghizadeh-Hesary (2016) for the structural constraints on Asian SMEs; and, for the Uzbekistan vignette, World Bank country updates (2023, 2025), the World Bank Enterprise Surveys (2024) and a UNESCAP (2025) foresight initiative. Estimating β₀–β₃ on firm-level data, including a primary survey of Uzbek and ASEAN SMEs, is the principal direction for further work.</w:t>
      </w:r>
    </w:p>
    <w:p>
      <w:pPr>
        <w:spacing w:line="360" w:lineRule="auto" w:after="120" w:before="200"/>
        <w:jc w:val="both"/>
      </w:pPr>
      <w:r>
        <w:rPr>
          <w:rFonts w:ascii="Times New Roman" w:hAnsi="Times New Roman" w:eastAsia="Times New Roman"/>
          <w:b/>
          <w:i w:val="0"/>
          <w:sz w:val="28"/>
        </w:rPr>
        <w:t>4. Illustration and regional indicators</w:t>
      </w:r>
    </w:p>
    <w:p>
      <w:pPr>
        <w:spacing w:line="360" w:lineRule="auto" w:after="80" w:before="160"/>
        <w:jc w:val="both"/>
      </w:pPr>
      <w:r>
        <w:rPr>
          <w:rFonts w:ascii="Times New Roman" w:hAnsi="Times New Roman" w:eastAsia="Times New Roman"/>
          <w:b/>
          <w:i/>
          <w:sz w:val="28"/>
        </w:rPr>
        <w:t>4.1. Numerical illustration of the moderation logic</w:t>
      </w:r>
    </w:p>
    <w:p>
      <w:pPr>
        <w:spacing w:line="360" w:lineRule="auto" w:after="120" w:before="0"/>
        <w:ind w:firstLine="432"/>
        <w:jc w:val="both"/>
      </w:pPr>
      <w:r>
        <w:rPr>
          <w:rFonts w:ascii="Times New Roman" w:hAnsi="Times New Roman" w:eastAsia="Times New Roman"/>
          <w:b w:val="0"/>
          <w:i w:val="0"/>
          <w:sz w:val="28"/>
        </w:rPr>
        <w:t>Before turning to the indicators, a numerical example clarifies what the moderation in equation (3) implies; it is a didactic device, not new empirical information, and traces only the isolated interaction of equation (4) for transparent inputs. Three representative SME profiles are used: a micro service firm with full connectivity but no analytics or artificial intelligence (DTI ≈ 0.33), a small manufacturer with moderate adoption (DTI ≈ 0.54) and a digitally advanced medium-sized exporter (DTI ≈ 0.80). Holding the slope at the illustrative value β₃ = 1, the implied performance gain is plotted for a high capability level (C = 0.8) and a low one (C = 0.3) in Figure 2, with the underlying figures in Table 1.</w:t>
      </w:r>
    </w:p>
    <w:p>
      <w:pPr>
        <w:spacing w:line="360" w:lineRule="auto" w:after="40" w:before="120"/>
        <w:jc w:val="center"/>
      </w:pPr>
      <w:r>
        <w:drawing>
          <wp:inline xmlns:a="http://schemas.openxmlformats.org/drawingml/2006/main" xmlns:pic="http://schemas.openxmlformats.org/drawingml/2006/picture">
            <wp:extent cx="5212080" cy="3247826"/>
            <wp:docPr id="2" name="Picture 2"/>
            <wp:cNvGraphicFramePr>
              <a:graphicFrameLocks noChangeAspect="1"/>
            </wp:cNvGraphicFramePr>
            <a:graphic>
              <a:graphicData uri="http://schemas.openxmlformats.org/drawingml/2006/picture">
                <pic:pic>
                  <pic:nvPicPr>
                    <pic:cNvPr id="0" name="figure2_dti_application.png"/>
                    <pic:cNvPicPr/>
                  </pic:nvPicPr>
                  <pic:blipFill>
                    <a:blip r:embed="rId10"/>
                    <a:stretch>
                      <a:fillRect/>
                    </a:stretch>
                  </pic:blipFill>
                  <pic:spPr>
                    <a:xfrm>
                      <a:off x="0" y="0"/>
                      <a:ext cx="5212080" cy="3247826"/>
                    </a:xfrm>
                    <a:prstGeom prst="rect"/>
                  </pic:spPr>
                </pic:pic>
              </a:graphicData>
            </a:graphic>
          </wp:inline>
        </w:drawing>
      </w:r>
    </w:p>
    <w:p>
      <w:pPr>
        <w:spacing w:line="240" w:lineRule="auto" w:after="40" w:before="0"/>
        <w:jc w:val="center"/>
      </w:pPr>
      <w:r>
        <w:rPr>
          <w:rFonts w:ascii="Times New Roman" w:hAnsi="Times New Roman" w:eastAsia="Times New Roman"/>
          <w:b/>
          <w:i w:val="0"/>
          <w:sz w:val="24"/>
        </w:rPr>
        <w:t>Figure 2. Numerical illustration: performance gain by DTI level under high and low capability</w:t>
      </w:r>
    </w:p>
    <w:p>
      <w:pPr>
        <w:spacing w:line="240" w:lineRule="auto" w:after="200" w:before="0"/>
        <w:jc w:val="center"/>
      </w:pPr>
      <w:r>
        <w:rPr>
          <w:rFonts w:ascii="Times New Roman" w:hAnsi="Times New Roman" w:eastAsia="Times New Roman"/>
          <w:b w:val="0"/>
          <w:i/>
          <w:sz w:val="22"/>
        </w:rPr>
        <w:t>Source: Authors’ illustration of equation (4) with β₃ = 1 for didactic purposes; the values are inputs, not estimates or survey data.</w:t>
      </w:r>
    </w:p>
    <w:p>
      <w:pPr>
        <w:spacing w:line="240" w:lineRule="auto" w:after="40" w:before="0"/>
        <w:jc w:val="left"/>
      </w:pPr>
      <w:r>
        <w:rPr>
          <w:rFonts w:ascii="Times New Roman" w:hAnsi="Times New Roman" w:eastAsia="Times New Roman"/>
          <w:b/>
          <w:i w:val="0"/>
          <w:sz w:val="28"/>
        </w:rPr>
        <w:t>Table 1</w:t>
      </w:r>
    </w:p>
    <w:p>
      <w:pPr>
        <w:spacing w:line="240" w:lineRule="auto" w:after="80" w:before="0"/>
        <w:jc w:val="left"/>
      </w:pPr>
      <w:r>
        <w:rPr>
          <w:rFonts w:ascii="Times New Roman" w:hAnsi="Times New Roman" w:eastAsia="Times New Roman"/>
          <w:b/>
          <w:i w:val="0"/>
          <w:sz w:val="24"/>
        </w:rPr>
        <w:t>Numerical illustration of the DTI×capability moderation (didactic, not empirical)</w:t>
      </w:r>
    </w:p>
    <w:tbl>
      <w:tblPr>
        <w:tblStyle w:val="TableGrid"/>
        <w:tblW w:type="auto" w:w="0"/>
        <w:jc w:val="center"/>
        <w:tblLook w:firstColumn="1" w:firstRow="1" w:lastColumn="0" w:lastRow="0" w:noHBand="0" w:noVBand="1" w:val="04A0"/>
      </w:tblPr>
      <w:tblGrid>
        <w:gridCol w:w="2210"/>
        <w:gridCol w:w="2210"/>
        <w:gridCol w:w="2210"/>
        <w:gridCol w:w="2210"/>
      </w:tblGrid>
      <w:tr>
        <w:tc>
          <w:tcPr>
            <w:tcW w:type="dxa" w:w="2210"/>
          </w:tcPr>
          <w:p>
            <w:pPr>
              <w:jc w:val="center"/>
            </w:pPr>
            <w:r>
              <w:rPr>
                <w:rFonts w:ascii="Times New Roman" w:hAnsi="Times New Roman" w:eastAsia="Times New Roman"/>
                <w:b/>
                <w:i w:val="0"/>
                <w:sz w:val="24"/>
              </w:rPr>
              <w:t>SME profile</w:t>
            </w:r>
          </w:p>
        </w:tc>
        <w:tc>
          <w:tcPr>
            <w:tcW w:type="dxa" w:w="2210"/>
          </w:tcPr>
          <w:p>
            <w:pPr>
              <w:jc w:val="center"/>
            </w:pPr>
            <w:r>
              <w:rPr>
                <w:rFonts w:ascii="Times New Roman" w:hAnsi="Times New Roman" w:eastAsia="Times New Roman"/>
                <w:b/>
                <w:i w:val="0"/>
                <w:sz w:val="24"/>
              </w:rPr>
              <w:t>DTI</w:t>
            </w:r>
          </w:p>
        </w:tc>
        <w:tc>
          <w:tcPr>
            <w:tcW w:type="dxa" w:w="2210"/>
          </w:tcPr>
          <w:p>
            <w:pPr>
              <w:jc w:val="center"/>
            </w:pPr>
            <w:r>
              <w:rPr>
                <w:rFonts w:ascii="Times New Roman" w:hAnsi="Times New Roman" w:eastAsia="Times New Roman"/>
                <w:b/>
                <w:i w:val="0"/>
                <w:sz w:val="24"/>
              </w:rPr>
              <w:t>Gain at C = 0.8</w:t>
            </w:r>
          </w:p>
        </w:tc>
        <w:tc>
          <w:tcPr>
            <w:tcW w:type="dxa" w:w="2210"/>
          </w:tcPr>
          <w:p>
            <w:pPr>
              <w:jc w:val="center"/>
            </w:pPr>
            <w:r>
              <w:rPr>
                <w:rFonts w:ascii="Times New Roman" w:hAnsi="Times New Roman" w:eastAsia="Times New Roman"/>
                <w:b/>
                <w:i w:val="0"/>
                <w:sz w:val="24"/>
              </w:rPr>
              <w:t>Gain at C = 0.3</w:t>
            </w:r>
          </w:p>
        </w:tc>
      </w:tr>
      <w:tr>
        <w:tc>
          <w:tcPr>
            <w:tcW w:type="dxa" w:w="2210"/>
          </w:tcPr>
          <w:p>
            <w:pPr>
              <w:jc w:val="left"/>
            </w:pPr>
            <w:r>
              <w:rPr>
                <w:rFonts w:ascii="Times New Roman" w:hAnsi="Times New Roman" w:eastAsia="Times New Roman"/>
                <w:b w:val="0"/>
                <w:i w:val="0"/>
                <w:sz w:val="24"/>
              </w:rPr>
              <w:t>Micro service firm</w:t>
            </w:r>
          </w:p>
        </w:tc>
        <w:tc>
          <w:tcPr>
            <w:tcW w:type="dxa" w:w="2210"/>
          </w:tcPr>
          <w:p>
            <w:pPr>
              <w:jc w:val="left"/>
            </w:pPr>
            <w:r>
              <w:rPr>
                <w:rFonts w:ascii="Times New Roman" w:hAnsi="Times New Roman" w:eastAsia="Times New Roman"/>
                <w:b w:val="0"/>
                <w:i w:val="0"/>
                <w:sz w:val="24"/>
              </w:rPr>
              <w:t>0.33</w:t>
            </w:r>
          </w:p>
        </w:tc>
        <w:tc>
          <w:tcPr>
            <w:tcW w:type="dxa" w:w="2210"/>
          </w:tcPr>
          <w:p>
            <w:pPr>
              <w:jc w:val="left"/>
            </w:pPr>
            <w:r>
              <w:rPr>
                <w:rFonts w:ascii="Times New Roman" w:hAnsi="Times New Roman" w:eastAsia="Times New Roman"/>
                <w:b w:val="0"/>
                <w:i w:val="0"/>
                <w:sz w:val="24"/>
              </w:rPr>
              <w:t>0.26</w:t>
            </w:r>
          </w:p>
        </w:tc>
        <w:tc>
          <w:tcPr>
            <w:tcW w:type="dxa" w:w="2210"/>
          </w:tcPr>
          <w:p>
            <w:pPr>
              <w:jc w:val="left"/>
            </w:pPr>
            <w:r>
              <w:rPr>
                <w:rFonts w:ascii="Times New Roman" w:hAnsi="Times New Roman" w:eastAsia="Times New Roman"/>
                <w:b w:val="0"/>
                <w:i w:val="0"/>
                <w:sz w:val="24"/>
              </w:rPr>
              <w:t>0.10</w:t>
            </w:r>
          </w:p>
        </w:tc>
      </w:tr>
      <w:tr>
        <w:tc>
          <w:tcPr>
            <w:tcW w:type="dxa" w:w="2210"/>
          </w:tcPr>
          <w:p>
            <w:pPr>
              <w:jc w:val="left"/>
            </w:pPr>
            <w:r>
              <w:rPr>
                <w:rFonts w:ascii="Times New Roman" w:hAnsi="Times New Roman" w:eastAsia="Times New Roman"/>
                <w:b w:val="0"/>
                <w:i w:val="0"/>
                <w:sz w:val="24"/>
              </w:rPr>
              <w:t>Small manufacturer</w:t>
            </w:r>
          </w:p>
        </w:tc>
        <w:tc>
          <w:tcPr>
            <w:tcW w:type="dxa" w:w="2210"/>
          </w:tcPr>
          <w:p>
            <w:pPr>
              <w:jc w:val="left"/>
            </w:pPr>
            <w:r>
              <w:rPr>
                <w:rFonts w:ascii="Times New Roman" w:hAnsi="Times New Roman" w:eastAsia="Times New Roman"/>
                <w:b w:val="0"/>
                <w:i w:val="0"/>
                <w:sz w:val="24"/>
              </w:rPr>
              <w:t>0.54</w:t>
            </w:r>
          </w:p>
        </w:tc>
        <w:tc>
          <w:tcPr>
            <w:tcW w:type="dxa" w:w="2210"/>
          </w:tcPr>
          <w:p>
            <w:pPr>
              <w:jc w:val="left"/>
            </w:pPr>
            <w:r>
              <w:rPr>
                <w:rFonts w:ascii="Times New Roman" w:hAnsi="Times New Roman" w:eastAsia="Times New Roman"/>
                <w:b w:val="0"/>
                <w:i w:val="0"/>
                <w:sz w:val="24"/>
              </w:rPr>
              <w:t>0.43</w:t>
            </w:r>
          </w:p>
        </w:tc>
        <w:tc>
          <w:tcPr>
            <w:tcW w:type="dxa" w:w="2210"/>
          </w:tcPr>
          <w:p>
            <w:pPr>
              <w:jc w:val="left"/>
            </w:pPr>
            <w:r>
              <w:rPr>
                <w:rFonts w:ascii="Times New Roman" w:hAnsi="Times New Roman" w:eastAsia="Times New Roman"/>
                <w:b w:val="0"/>
                <w:i w:val="0"/>
                <w:sz w:val="24"/>
              </w:rPr>
              <w:t>0.16</w:t>
            </w:r>
          </w:p>
        </w:tc>
      </w:tr>
      <w:tr>
        <w:tc>
          <w:tcPr>
            <w:tcW w:type="dxa" w:w="2210"/>
          </w:tcPr>
          <w:p>
            <w:pPr>
              <w:jc w:val="left"/>
            </w:pPr>
            <w:r>
              <w:rPr>
                <w:rFonts w:ascii="Times New Roman" w:hAnsi="Times New Roman" w:eastAsia="Times New Roman"/>
                <w:b w:val="0"/>
                <w:i w:val="0"/>
                <w:sz w:val="24"/>
              </w:rPr>
              <w:t>Medium exporter</w:t>
            </w:r>
          </w:p>
        </w:tc>
        <w:tc>
          <w:tcPr>
            <w:tcW w:type="dxa" w:w="2210"/>
          </w:tcPr>
          <w:p>
            <w:pPr>
              <w:jc w:val="left"/>
            </w:pPr>
            <w:r>
              <w:rPr>
                <w:rFonts w:ascii="Times New Roman" w:hAnsi="Times New Roman" w:eastAsia="Times New Roman"/>
                <w:b w:val="0"/>
                <w:i w:val="0"/>
                <w:sz w:val="24"/>
              </w:rPr>
              <w:t>0.80</w:t>
            </w:r>
          </w:p>
        </w:tc>
        <w:tc>
          <w:tcPr>
            <w:tcW w:type="dxa" w:w="2210"/>
          </w:tcPr>
          <w:p>
            <w:pPr>
              <w:jc w:val="left"/>
            </w:pPr>
            <w:r>
              <w:rPr>
                <w:rFonts w:ascii="Times New Roman" w:hAnsi="Times New Roman" w:eastAsia="Times New Roman"/>
                <w:b w:val="0"/>
                <w:i w:val="0"/>
                <w:sz w:val="24"/>
              </w:rPr>
              <w:t>0.64</w:t>
            </w:r>
          </w:p>
        </w:tc>
        <w:tc>
          <w:tcPr>
            <w:tcW w:type="dxa" w:w="2210"/>
          </w:tcPr>
          <w:p>
            <w:pPr>
              <w:jc w:val="left"/>
            </w:pPr>
            <w:r>
              <w:rPr>
                <w:rFonts w:ascii="Times New Roman" w:hAnsi="Times New Roman" w:eastAsia="Times New Roman"/>
                <w:b w:val="0"/>
                <w:i w:val="0"/>
                <w:sz w:val="24"/>
              </w:rPr>
              <w:t>0.24</w:t>
            </w:r>
          </w:p>
        </w:tc>
      </w:tr>
    </w:tbl>
    <w:p>
      <w:pPr>
        <w:spacing w:line="240" w:lineRule="auto" w:after="200" w:before="0"/>
        <w:jc w:val="left"/>
      </w:pPr>
      <w:r>
        <w:rPr>
          <w:rFonts w:ascii="Times New Roman" w:hAnsi="Times New Roman" w:eastAsia="Times New Roman"/>
          <w:b w:val="0"/>
          <w:i/>
          <w:sz w:val="22"/>
        </w:rPr>
        <w:t>Source: Authors’ illustration of equation (4) with β₃ set to one. The values are didactic inputs, not estimates or survey data.</w:t>
      </w:r>
    </w:p>
    <w:p>
      <w:pPr>
        <w:spacing w:line="360" w:lineRule="auto" w:after="120" w:before="0"/>
        <w:ind w:firstLine="432"/>
        <w:jc w:val="both"/>
      </w:pPr>
      <w:r>
        <w:rPr>
          <w:rFonts w:ascii="Times New Roman" w:hAnsi="Times New Roman" w:eastAsia="Times New Roman"/>
          <w:b w:val="0"/>
          <w:i w:val="0"/>
          <w:sz w:val="28"/>
        </w:rPr>
        <w:t>The example conveys one point only: under the moderated specification, the performance return to a given level of digital adoption is far larger when capability is high than when it is low — about two-and-a-half times larger at C = 0.8 than at C = 0.3 — so a digitally advanced firm with weak capability gains little relative to its potential. This is the qualitative content of the proposition that capability, not technology, is the binding constraint; establishing its magnitude requires estimating equation (3) on firm-level data, as set out in Section 3.</w:t>
      </w:r>
    </w:p>
    <w:p>
      <w:pPr>
        <w:spacing w:line="360" w:lineRule="auto" w:after="80" w:before="160"/>
        <w:jc w:val="both"/>
      </w:pPr>
      <w:r>
        <w:rPr>
          <w:rFonts w:ascii="Times New Roman" w:hAnsi="Times New Roman" w:eastAsia="Times New Roman"/>
          <w:b/>
          <w:i/>
          <w:sz w:val="28"/>
        </w:rPr>
        <w:t>4.2. Regional indicators for emerging Asia</w:t>
      </w:r>
    </w:p>
    <w:p>
      <w:pPr>
        <w:spacing w:line="360" w:lineRule="auto" w:after="120" w:before="0"/>
        <w:ind w:firstLine="432"/>
        <w:jc w:val="both"/>
      </w:pPr>
      <w:r>
        <w:rPr>
          <w:rFonts w:ascii="Times New Roman" w:hAnsi="Times New Roman" w:eastAsia="Times New Roman"/>
          <w:b w:val="0"/>
          <w:i w:val="0"/>
          <w:sz w:val="28"/>
        </w:rPr>
        <w:t>Across the ASEAN member states, micro, small and medium-sized enterprises account for the overwhelming majority of firms and the bulk of employment, and the regional digital economy is expanding rapidly (Asian Development Bank, 2023). The constraints on their digital transformation are, however, systematic. Yoshino and Taghizadeh-Hesary (2016) show that Asian SMEs are held back by limited access to finance, the absence of comprehensive databases, low research and development spending and underdeveloped sales channels — conditions that depress the capability term in the framework. The OECD and ERIA (2024) confirm that, although ASEAN governments have strengthened SME policy frameworks, the digitalisation of smaller firms remains uneven and skills and finance are recurring bottlenecks. These secondary indicators are consistent with the framework’s prediction that capability, not connectivity, is the binding constraint.</w:t>
      </w:r>
    </w:p>
    <w:p>
      <w:pPr>
        <w:spacing w:line="360" w:lineRule="auto" w:after="80" w:before="160"/>
        <w:jc w:val="both"/>
      </w:pPr>
      <w:r>
        <w:rPr>
          <w:rFonts w:ascii="Times New Roman" w:hAnsi="Times New Roman" w:eastAsia="Times New Roman"/>
          <w:b/>
          <w:i/>
          <w:sz w:val="28"/>
        </w:rPr>
        <w:t>4.3. Country vignette: Uzbekistan</w:t>
      </w:r>
    </w:p>
    <w:p>
      <w:pPr>
        <w:spacing w:line="360" w:lineRule="auto" w:after="120" w:before="0"/>
        <w:ind w:firstLine="432"/>
        <w:jc w:val="both"/>
      </w:pPr>
      <w:r>
        <w:rPr>
          <w:rFonts w:ascii="Times New Roman" w:hAnsi="Times New Roman" w:eastAsia="Times New Roman"/>
          <w:b w:val="0"/>
          <w:i w:val="0"/>
          <w:sz w:val="28"/>
        </w:rPr>
        <w:t>Uzbekistan illustrates both the opportunity and the constraint. SMEs are central to the economy: World Bank country updates (2025) report that micro, small and medium-sized enterprises account for over ninety per cent of businesses, about seventy-five per cent of employment and roughly fifty-five per cent of gross domestic product, and the national statistics authorities record more than 1.2 million small businesses in early 2025. Connectivity and e-commerce have grown quickly from a low base; the World Bank (2023) reports that the e-commerce market expanded roughly fivefold between 2018 and 2022, exceeding half a billion United States dollars by 2023, and national policy under the Digital Uzbekistan 2030 strategy aims to turn the country into a regional information-technology hub with higher technology exports and large-scale job creation.</w:t>
      </w:r>
    </w:p>
    <w:p>
      <w:pPr>
        <w:spacing w:line="360" w:lineRule="auto" w:after="120" w:before="0"/>
        <w:ind w:firstLine="432"/>
        <w:jc w:val="both"/>
      </w:pPr>
      <w:r>
        <w:rPr>
          <w:rFonts w:ascii="Times New Roman" w:hAnsi="Times New Roman" w:eastAsia="Times New Roman"/>
          <w:b w:val="0"/>
          <w:i w:val="0"/>
          <w:sz w:val="28"/>
        </w:rPr>
        <w:t>The deeper transformation of enterprises nonetheless lags the roll-out of infrastructure. Preliminary figures presented at a UNESCAP (2025) foresight workshop suggest that only about ten per cent of SMEs were registered on the national digital public-services portal, an indication that the uptake of even basic digital government services — let alone analytics or artificial intelligence — remains shallow; this single figure is treated as indicative and would benefit from confirmation in firm-level survey data. Viewed through the lens of the framework, Uzbek SMEs increasingly possess the drivers and the connectivity but not yet the capability — skills, finance and managerial capacity — that converts adoption into performance. Table 2 summarises the regional and Uzbekistan indicators.</w:t>
      </w:r>
    </w:p>
    <w:p>
      <w:pPr>
        <w:spacing w:line="240" w:lineRule="auto" w:after="40" w:before="0"/>
        <w:jc w:val="left"/>
      </w:pPr>
      <w:r>
        <w:rPr>
          <w:rFonts w:ascii="Times New Roman" w:hAnsi="Times New Roman" w:eastAsia="Times New Roman"/>
          <w:b/>
          <w:i w:val="0"/>
          <w:sz w:val="28"/>
        </w:rPr>
        <w:t>Table 2</w:t>
      </w:r>
    </w:p>
    <w:p>
      <w:pPr>
        <w:spacing w:line="240" w:lineRule="auto" w:after="80" w:before="0"/>
        <w:jc w:val="left"/>
      </w:pPr>
      <w:r>
        <w:rPr>
          <w:rFonts w:ascii="Times New Roman" w:hAnsi="Times New Roman" w:eastAsia="Times New Roman"/>
          <w:b/>
          <w:i w:val="0"/>
          <w:sz w:val="24"/>
        </w:rPr>
        <w:t>Digital transformation of SMEs in emerging Asia: selected secondary indicators</w:t>
      </w:r>
    </w:p>
    <w:tbl>
      <w:tblPr>
        <w:tblStyle w:val="TableGrid"/>
        <w:tblW w:type="auto" w:w="0"/>
        <w:jc w:val="center"/>
        <w:tblLook w:firstColumn="1" w:firstRow="1" w:lastColumn="0" w:lastRow="0" w:noHBand="0" w:noVBand="1" w:val="04A0"/>
      </w:tblPr>
      <w:tblGrid>
        <w:gridCol w:w="2947"/>
        <w:gridCol w:w="2947"/>
        <w:gridCol w:w="2947"/>
      </w:tblGrid>
      <w:tr>
        <w:tc>
          <w:tcPr>
            <w:tcW w:type="dxa" w:w="2947"/>
          </w:tcPr>
          <w:p>
            <w:pPr>
              <w:jc w:val="center"/>
            </w:pPr>
            <w:r>
              <w:rPr>
                <w:rFonts w:ascii="Times New Roman" w:hAnsi="Times New Roman" w:eastAsia="Times New Roman"/>
                <w:b/>
                <w:i w:val="0"/>
                <w:sz w:val="24"/>
              </w:rPr>
              <w:t>Indicator / observation</w:t>
            </w:r>
          </w:p>
        </w:tc>
        <w:tc>
          <w:tcPr>
            <w:tcW w:type="dxa" w:w="2947"/>
          </w:tcPr>
          <w:p>
            <w:pPr>
              <w:jc w:val="center"/>
            </w:pPr>
            <w:r>
              <w:rPr>
                <w:rFonts w:ascii="Times New Roman" w:hAnsi="Times New Roman" w:eastAsia="Times New Roman"/>
                <w:b/>
                <w:i w:val="0"/>
                <w:sz w:val="24"/>
              </w:rPr>
              <w:t>Value</w:t>
            </w:r>
          </w:p>
        </w:tc>
        <w:tc>
          <w:tcPr>
            <w:tcW w:type="dxa" w:w="2947"/>
          </w:tcPr>
          <w:p>
            <w:pPr>
              <w:jc w:val="center"/>
            </w:pPr>
            <w:r>
              <w:rPr>
                <w:rFonts w:ascii="Times New Roman" w:hAnsi="Times New Roman" w:eastAsia="Times New Roman"/>
                <w:b/>
                <w:i w:val="0"/>
                <w:sz w:val="24"/>
              </w:rPr>
              <w:t>Source</w:t>
            </w:r>
          </w:p>
        </w:tc>
      </w:tr>
      <w:tr>
        <w:tc>
          <w:tcPr>
            <w:tcW w:type="dxa" w:w="2947"/>
          </w:tcPr>
          <w:p>
            <w:pPr>
              <w:jc w:val="left"/>
            </w:pPr>
            <w:r>
              <w:rPr>
                <w:rFonts w:ascii="Times New Roman" w:hAnsi="Times New Roman" w:eastAsia="Times New Roman"/>
                <w:b w:val="0"/>
                <w:i w:val="0"/>
                <w:sz w:val="24"/>
              </w:rPr>
              <w:t>MSME share of enterprises, ASEAN</w:t>
            </w:r>
          </w:p>
        </w:tc>
        <w:tc>
          <w:tcPr>
            <w:tcW w:type="dxa" w:w="2947"/>
          </w:tcPr>
          <w:p>
            <w:pPr>
              <w:jc w:val="left"/>
            </w:pPr>
            <w:r>
              <w:rPr>
                <w:rFonts w:ascii="Times New Roman" w:hAnsi="Times New Roman" w:eastAsia="Times New Roman"/>
                <w:b w:val="0"/>
                <w:i w:val="0"/>
                <w:sz w:val="24"/>
              </w:rPr>
              <w:t>On average &gt; 97% of firms</w:t>
            </w:r>
          </w:p>
        </w:tc>
        <w:tc>
          <w:tcPr>
            <w:tcW w:type="dxa" w:w="2947"/>
          </w:tcPr>
          <w:p>
            <w:pPr>
              <w:jc w:val="left"/>
            </w:pPr>
            <w:r>
              <w:rPr>
                <w:rFonts w:ascii="Times New Roman" w:hAnsi="Times New Roman" w:eastAsia="Times New Roman"/>
                <w:b w:val="0"/>
                <w:i w:val="0"/>
                <w:sz w:val="24"/>
              </w:rPr>
              <w:t>ADB (2023)</w:t>
            </w:r>
          </w:p>
        </w:tc>
      </w:tr>
      <w:tr>
        <w:tc>
          <w:tcPr>
            <w:tcW w:type="dxa" w:w="2947"/>
          </w:tcPr>
          <w:p>
            <w:pPr>
              <w:jc w:val="left"/>
            </w:pPr>
            <w:r>
              <w:rPr>
                <w:rFonts w:ascii="Times New Roman" w:hAnsi="Times New Roman" w:eastAsia="Times New Roman"/>
                <w:b w:val="0"/>
                <w:i w:val="0"/>
                <w:sz w:val="24"/>
              </w:rPr>
              <w:t>Main SME constraints in Asia</w:t>
            </w:r>
          </w:p>
        </w:tc>
        <w:tc>
          <w:tcPr>
            <w:tcW w:type="dxa" w:w="2947"/>
          </w:tcPr>
          <w:p>
            <w:pPr>
              <w:jc w:val="left"/>
            </w:pPr>
            <w:r>
              <w:rPr>
                <w:rFonts w:ascii="Times New Roman" w:hAnsi="Times New Roman" w:eastAsia="Times New Roman"/>
                <w:b w:val="0"/>
                <w:i w:val="0"/>
                <w:sz w:val="24"/>
              </w:rPr>
              <w:t>Finance; databases; R&amp;D; sales channels</w:t>
            </w:r>
          </w:p>
        </w:tc>
        <w:tc>
          <w:tcPr>
            <w:tcW w:type="dxa" w:w="2947"/>
          </w:tcPr>
          <w:p>
            <w:pPr>
              <w:jc w:val="left"/>
            </w:pPr>
            <w:r>
              <w:rPr>
                <w:rFonts w:ascii="Times New Roman" w:hAnsi="Times New Roman" w:eastAsia="Times New Roman"/>
                <w:b w:val="0"/>
                <w:i w:val="0"/>
                <w:sz w:val="24"/>
              </w:rPr>
              <w:t>Yoshino &amp; Taghizadeh-Hesary (2016)</w:t>
            </w:r>
          </w:p>
        </w:tc>
      </w:tr>
      <w:tr>
        <w:tc>
          <w:tcPr>
            <w:tcW w:type="dxa" w:w="2947"/>
          </w:tcPr>
          <w:p>
            <w:pPr>
              <w:jc w:val="left"/>
            </w:pPr>
            <w:r>
              <w:rPr>
                <w:rFonts w:ascii="Times New Roman" w:hAnsi="Times New Roman" w:eastAsia="Times New Roman"/>
                <w:b w:val="0"/>
                <w:i w:val="0"/>
                <w:sz w:val="24"/>
              </w:rPr>
              <w:t>Uzbekistan – MSME role</w:t>
            </w:r>
          </w:p>
        </w:tc>
        <w:tc>
          <w:tcPr>
            <w:tcW w:type="dxa" w:w="2947"/>
          </w:tcPr>
          <w:p>
            <w:pPr>
              <w:jc w:val="left"/>
            </w:pPr>
            <w:r>
              <w:rPr>
                <w:rFonts w:ascii="Times New Roman" w:hAnsi="Times New Roman" w:eastAsia="Times New Roman"/>
                <w:b w:val="0"/>
                <w:i w:val="0"/>
                <w:sz w:val="24"/>
              </w:rPr>
              <w:t>&gt; 90% of firms; ~75% jobs; ~55% of GDP</w:t>
            </w:r>
          </w:p>
        </w:tc>
        <w:tc>
          <w:tcPr>
            <w:tcW w:type="dxa" w:w="2947"/>
          </w:tcPr>
          <w:p>
            <w:pPr>
              <w:jc w:val="left"/>
            </w:pPr>
            <w:r>
              <w:rPr>
                <w:rFonts w:ascii="Times New Roman" w:hAnsi="Times New Roman" w:eastAsia="Times New Roman"/>
                <w:b w:val="0"/>
                <w:i w:val="0"/>
                <w:sz w:val="24"/>
              </w:rPr>
              <w:t>World Bank (2025)</w:t>
            </w:r>
          </w:p>
        </w:tc>
      </w:tr>
      <w:tr>
        <w:tc>
          <w:tcPr>
            <w:tcW w:type="dxa" w:w="2947"/>
          </w:tcPr>
          <w:p>
            <w:pPr>
              <w:jc w:val="left"/>
            </w:pPr>
            <w:r>
              <w:rPr>
                <w:rFonts w:ascii="Times New Roman" w:hAnsi="Times New Roman" w:eastAsia="Times New Roman"/>
                <w:b w:val="0"/>
                <w:i w:val="0"/>
                <w:sz w:val="24"/>
              </w:rPr>
              <w:t>Uzbekistan – e-commerce</w:t>
            </w:r>
          </w:p>
        </w:tc>
        <w:tc>
          <w:tcPr>
            <w:tcW w:type="dxa" w:w="2947"/>
          </w:tcPr>
          <w:p>
            <w:pPr>
              <w:jc w:val="left"/>
            </w:pPr>
            <w:r>
              <w:rPr>
                <w:rFonts w:ascii="Times New Roman" w:hAnsi="Times New Roman" w:eastAsia="Times New Roman"/>
                <w:b w:val="0"/>
                <w:i w:val="0"/>
                <w:sz w:val="24"/>
              </w:rPr>
              <w:t>~5× growth 2018–2022; &gt; USD 0.5 bn (2023)</w:t>
            </w:r>
          </w:p>
        </w:tc>
        <w:tc>
          <w:tcPr>
            <w:tcW w:type="dxa" w:w="2947"/>
          </w:tcPr>
          <w:p>
            <w:pPr>
              <w:jc w:val="left"/>
            </w:pPr>
            <w:r>
              <w:rPr>
                <w:rFonts w:ascii="Times New Roman" w:hAnsi="Times New Roman" w:eastAsia="Times New Roman"/>
                <w:b w:val="0"/>
                <w:i w:val="0"/>
                <w:sz w:val="24"/>
              </w:rPr>
              <w:t>World Bank (2023)</w:t>
            </w:r>
          </w:p>
        </w:tc>
      </w:tr>
      <w:tr>
        <w:tc>
          <w:tcPr>
            <w:tcW w:type="dxa" w:w="2947"/>
          </w:tcPr>
          <w:p>
            <w:pPr>
              <w:jc w:val="left"/>
            </w:pPr>
            <w:r>
              <w:rPr>
                <w:rFonts w:ascii="Times New Roman" w:hAnsi="Times New Roman" w:eastAsia="Times New Roman"/>
                <w:b w:val="0"/>
                <w:i w:val="0"/>
                <w:sz w:val="24"/>
              </w:rPr>
              <w:t>Uzbekistan – SMEs on e-gov portal</w:t>
            </w:r>
          </w:p>
        </w:tc>
        <w:tc>
          <w:tcPr>
            <w:tcW w:type="dxa" w:w="2947"/>
          </w:tcPr>
          <w:p>
            <w:pPr>
              <w:jc w:val="left"/>
            </w:pPr>
            <w:r>
              <w:rPr>
                <w:rFonts w:ascii="Times New Roman" w:hAnsi="Times New Roman" w:eastAsia="Times New Roman"/>
                <w:b w:val="0"/>
                <w:i w:val="0"/>
                <w:sz w:val="24"/>
              </w:rPr>
              <w:t>~10% registered (indicative)</w:t>
            </w:r>
          </w:p>
        </w:tc>
        <w:tc>
          <w:tcPr>
            <w:tcW w:type="dxa" w:w="2947"/>
          </w:tcPr>
          <w:p>
            <w:pPr>
              <w:jc w:val="left"/>
            </w:pPr>
            <w:r>
              <w:rPr>
                <w:rFonts w:ascii="Times New Roman" w:hAnsi="Times New Roman" w:eastAsia="Times New Roman"/>
                <w:b w:val="0"/>
                <w:i w:val="0"/>
                <w:sz w:val="24"/>
              </w:rPr>
              <w:t>UNESCAP (2025)</w:t>
            </w:r>
          </w:p>
        </w:tc>
      </w:tr>
      <w:tr>
        <w:tc>
          <w:tcPr>
            <w:tcW w:type="dxa" w:w="2947"/>
          </w:tcPr>
          <w:p>
            <w:pPr>
              <w:jc w:val="left"/>
            </w:pPr>
            <w:r>
              <w:rPr>
                <w:rFonts w:ascii="Times New Roman" w:hAnsi="Times New Roman" w:eastAsia="Times New Roman"/>
                <w:b w:val="0"/>
                <w:i w:val="0"/>
                <w:sz w:val="24"/>
              </w:rPr>
              <w:t>Binding constraint (framework)</w:t>
            </w:r>
          </w:p>
        </w:tc>
        <w:tc>
          <w:tcPr>
            <w:tcW w:type="dxa" w:w="2947"/>
          </w:tcPr>
          <w:p>
            <w:pPr>
              <w:jc w:val="left"/>
            </w:pPr>
            <w:r>
              <w:rPr>
                <w:rFonts w:ascii="Times New Roman" w:hAnsi="Times New Roman" w:eastAsia="Times New Roman"/>
                <w:b w:val="0"/>
                <w:i w:val="0"/>
                <w:sz w:val="24"/>
              </w:rPr>
              <w:t>Capability: skills, finance, management</w:t>
            </w:r>
          </w:p>
        </w:tc>
        <w:tc>
          <w:tcPr>
            <w:tcW w:type="dxa" w:w="2947"/>
          </w:tcPr>
          <w:p>
            <w:pPr>
              <w:jc w:val="left"/>
            </w:pPr>
            <w:r>
              <w:rPr>
                <w:rFonts w:ascii="Times New Roman" w:hAnsi="Times New Roman" w:eastAsia="Times New Roman"/>
                <w:b w:val="0"/>
                <w:i w:val="0"/>
                <w:sz w:val="24"/>
              </w:rPr>
              <w:t>This study</w:t>
            </w:r>
          </w:p>
        </w:tc>
      </w:tr>
    </w:tbl>
    <w:p>
      <w:pPr>
        <w:spacing w:line="240" w:lineRule="auto" w:after="200" w:before="0"/>
        <w:jc w:val="left"/>
      </w:pPr>
      <w:r>
        <w:rPr>
          <w:rFonts w:ascii="Times New Roman" w:hAnsi="Times New Roman" w:eastAsia="Times New Roman"/>
          <w:b w:val="0"/>
          <w:i/>
          <w:sz w:val="22"/>
        </w:rPr>
        <w:t>Source: Compiled by the authors from the cited institutional sources; the e-government-portal figure is indicative.</w:t>
      </w:r>
    </w:p>
    <w:p>
      <w:pPr>
        <w:spacing w:line="360" w:lineRule="auto" w:after="120" w:before="200"/>
        <w:jc w:val="both"/>
      </w:pPr>
      <w:r>
        <w:rPr>
          <w:rFonts w:ascii="Times New Roman" w:hAnsi="Times New Roman" w:eastAsia="Times New Roman"/>
          <w:b/>
          <w:i w:val="0"/>
          <w:sz w:val="28"/>
        </w:rPr>
        <w:t>5. Management and policy implications</w:t>
      </w:r>
    </w:p>
    <w:p>
      <w:pPr>
        <w:spacing w:line="360" w:lineRule="auto" w:after="120" w:before="0"/>
        <w:ind w:firstLine="432"/>
        <w:jc w:val="both"/>
      </w:pPr>
      <w:r>
        <w:rPr>
          <w:rFonts w:ascii="Times New Roman" w:hAnsi="Times New Roman" w:eastAsia="Times New Roman"/>
          <w:b w:val="0"/>
          <w:i w:val="0"/>
          <w:sz w:val="28"/>
        </w:rPr>
        <w:t>For the management of the individual SME, the framework implies that investment should be sequenced according to capability rather than technology fashion. Because the performance return to adoption rises with capability (equation 3), a firm with weak capabilities gains more from building sensing and absorptive capacity than from acquiring advanced tools it cannot embed. The actionable corollary, which goes beyond the general advice to “invest in skills”, is a capability-matched adoption rule: a firm should advance to the next, more demanding digital element only once its capability level has risen to support it, so that DTI and C grow together along the diagonal of highest return rather than letting adoption outrun capability.</w:t>
      </w:r>
    </w:p>
    <w:p>
      <w:pPr>
        <w:spacing w:line="360" w:lineRule="auto" w:after="120" w:before="0"/>
        <w:ind w:firstLine="432"/>
        <w:jc w:val="both"/>
      </w:pPr>
      <w:r>
        <w:rPr>
          <w:rFonts w:ascii="Times New Roman" w:hAnsi="Times New Roman" w:eastAsia="Times New Roman"/>
          <w:b w:val="0"/>
          <w:i w:val="0"/>
          <w:sz w:val="28"/>
        </w:rPr>
        <w:t>For policy in Asian emerging economies, the moderation logic yields a concrete diagnostic that is new to this debate. Because the marginal return to adoption is β₁ + β₃·C, a government can estimate the average capability level C̄ across its SME population from existing enterprise-survey data and identify the threshold beyond which subsidising further technology adoption yields less than investing the same funds in raising capability — a calculation national statistical offices could perform with the World Bank Enterprise Survey instruments already in use. Where C̄ is low, as the ASEAN and Central Asian indicators suggest, the implication is to reallocate support from hardware subsidies towards skills, advisory and diagnostic services and the SME databases and credit information that relax the finance constraint identified by Yoshino and Taghizadeh-Hesary (2016).</w:t>
      </w:r>
    </w:p>
    <w:p>
      <w:pPr>
        <w:spacing w:line="360" w:lineRule="auto" w:after="120" w:before="0"/>
        <w:ind w:firstLine="432"/>
        <w:jc w:val="both"/>
      </w:pPr>
      <w:r>
        <w:rPr>
          <w:rFonts w:ascii="Times New Roman" w:hAnsi="Times New Roman" w:eastAsia="Times New Roman"/>
          <w:b w:val="0"/>
          <w:i w:val="0"/>
          <w:sz w:val="28"/>
        </w:rPr>
        <w:t>Shared public digital infrastructure complements both levers. Interoperable digital-payment systems, digital identity and the e-government services on which Uzbek SME uptake is only about ten per cent (UNESCAP, 2025) lower the fixed cost of transformation for the smallest firms and raise the baseline of the digital-transformation intensity index across the population (OECD &amp; ERIA, 2024; World Bank, 2023; Asian Development Bank, 2024). Where capability building and shared infrastructure are neglected and support is confined to hardware, the predictable outcome is adoption without transformation, and the gap between dynamic and lagging firms persists.</w:t>
      </w:r>
    </w:p>
    <w:p>
      <w:pPr>
        <w:spacing w:line="360" w:lineRule="auto" w:after="120" w:before="200"/>
        <w:jc w:val="both"/>
      </w:pPr>
      <w:r>
        <w:rPr>
          <w:rFonts w:ascii="Times New Roman" w:hAnsi="Times New Roman" w:eastAsia="Times New Roman"/>
          <w:b/>
          <w:i w:val="0"/>
          <w:sz w:val="28"/>
        </w:rPr>
        <w:t>Conclusions</w:t>
      </w:r>
    </w:p>
    <w:p>
      <w:pPr>
        <w:spacing w:line="360" w:lineRule="auto" w:after="120" w:before="0"/>
        <w:ind w:firstLine="432"/>
        <w:jc w:val="both"/>
      </w:pPr>
      <w:r>
        <w:rPr>
          <w:rFonts w:ascii="Times New Roman" w:hAnsi="Times New Roman" w:eastAsia="Times New Roman"/>
          <w:b w:val="0"/>
          <w:i w:val="0"/>
          <w:sz w:val="28"/>
        </w:rPr>
        <w:t>Across emerging Asia, the firms that most need the productivity gains of digital technology — the small and medium-sized enterprises that dominate employment and output — are also those least equipped to realise them. This study argued that the decisive factor is not access to technology but the managerial capability to absorb it. Integrating the process view of digital transformation with the dynamic-capabilities perspective, it set out a framework linking external drivers, the firm’s sensing, seizing and reconfiguring capabilities, the depth of the transformation undertaken and the resulting performance, with a reinvestment feedback loop; it operationalised both digital-transformation intensity and dynamic capability using existing, validated instruments; and it expressed the core claim as a moderation hypothesis that can be estimated on firm-level data.</w:t>
      </w:r>
    </w:p>
    <w:p>
      <w:pPr>
        <w:spacing w:line="360" w:lineRule="auto" w:after="120" w:before="0"/>
        <w:ind w:firstLine="432"/>
        <w:jc w:val="both"/>
      </w:pPr>
      <w:r>
        <w:rPr>
          <w:rFonts w:ascii="Times New Roman" w:hAnsi="Times New Roman" w:eastAsia="Times New Roman"/>
          <w:b w:val="0"/>
          <w:i w:val="0"/>
          <w:sz w:val="28"/>
        </w:rPr>
        <w:t>Assessed in light of secondary indicators from the ASEAN region and Uzbekistan, the framework is consistent with a clear pattern: connectivity and policy ambition advance quickly, but the capability to turn technology into performance — skills, finance and management — lags behind. The practical message for managers is to grow adoption and capability together; for policymakers, to use the capability-threshold diagnostic and to fund skills, finance and shared digital infrastructure rather than hardware alone. The study’s main limitation is that the moderation is specified and illustrated rather than estimated; the numerical example uses didactic inputs, not data. The clear next step is to estimate equation (3) on firm-level evidence — the World Bank Enterprise Surveys, including the 2024 Uzbekistan round, or a dedicated primary survey of Uzbek and ASEAN SMEs — which would quantify the interaction β₃ and the capability threshold and sharpen the policy priorities.</w:t>
      </w:r>
    </w:p>
    <w:p>
      <w:pPr>
        <w:spacing w:line="360" w:lineRule="auto" w:after="120" w:before="200"/>
        <w:jc w:val="both"/>
      </w:pPr>
      <w:r>
        <w:rPr>
          <w:rFonts w:ascii="Times New Roman" w:hAnsi="Times New Roman" w:eastAsia="Times New Roman"/>
          <w:b/>
          <w:i w:val="0"/>
          <w:sz w:val="28"/>
        </w:rPr>
        <w:t>References</w:t>
      </w:r>
    </w:p>
    <w:p>
      <w:pPr>
        <w:spacing w:line="360" w:lineRule="auto" w:after="80" w:before="0"/>
        <w:ind w:left="720" w:hanging="720"/>
        <w:jc w:val="both"/>
      </w:pPr>
      <w:r>
        <w:rPr>
          <w:rFonts w:ascii="Times New Roman" w:hAnsi="Times New Roman" w:eastAsia="Times New Roman"/>
          <w:b w:val="0"/>
          <w:i w:val="0"/>
          <w:sz w:val="28"/>
        </w:rPr>
        <w:t>Asian Development Bank. (2023). Asia small and medium-sized enterprise monitor 2023. Manila: Asian Development Bank. https://www.adb.org/publications/asia-sme-monitor-2023</w:t>
      </w:r>
    </w:p>
    <w:p>
      <w:pPr>
        <w:spacing w:line="360" w:lineRule="auto" w:after="80" w:before="0"/>
        <w:ind w:left="720" w:hanging="720"/>
        <w:jc w:val="both"/>
      </w:pPr>
      <w:r>
        <w:rPr>
          <w:rFonts w:ascii="Times New Roman" w:hAnsi="Times New Roman" w:eastAsia="Times New Roman"/>
          <w:b w:val="0"/>
          <w:i w:val="0"/>
          <w:sz w:val="28"/>
        </w:rPr>
        <w:t>Asian Development Bank. (2024). Digital transformation for inclusive and sustainable development in Asia. Manila: Asian Development Bank. https://www.adb.org/publications/digital-transformation-for-inclusive-and-sustainable-development-in-asia</w:t>
      </w:r>
    </w:p>
    <w:p>
      <w:pPr>
        <w:spacing w:line="360" w:lineRule="auto" w:after="80" w:before="0"/>
        <w:ind w:left="720" w:hanging="720"/>
        <w:jc w:val="both"/>
      </w:pPr>
      <w:r>
        <w:rPr>
          <w:rFonts w:ascii="Times New Roman" w:hAnsi="Times New Roman" w:eastAsia="Times New Roman"/>
          <w:b w:val="0"/>
          <w:i w:val="0"/>
          <w:sz w:val="28"/>
        </w:rPr>
        <w:t>Bharadwaj, A., El Sawy, O. A., Pavlou, P. A., &amp; Venkatraman, N. (2013). Digital business strategy: Toward a next generation of insights. MIS Quarterly, 37(2), 471–482. https://doi.org/10.25300/MISQ/2013/37:2.3</w:t>
      </w:r>
    </w:p>
    <w:p>
      <w:pPr>
        <w:spacing w:line="360" w:lineRule="auto" w:after="80" w:before="0"/>
        <w:ind w:left="720" w:hanging="720"/>
        <w:jc w:val="both"/>
      </w:pPr>
      <w:r>
        <w:rPr>
          <w:rFonts w:ascii="Times New Roman" w:hAnsi="Times New Roman" w:eastAsia="Times New Roman"/>
          <w:b w:val="0"/>
          <w:i w:val="0"/>
          <w:sz w:val="28"/>
        </w:rPr>
        <w:t>Davis, F. D. (1989). Perceived usefulness, perceived ease of use, and user acceptance of information technology. MIS Quarterly, 13(3), 319–340. https://doi.org/10.2307/249008</w:t>
      </w:r>
    </w:p>
    <w:p>
      <w:pPr>
        <w:spacing w:line="360" w:lineRule="auto" w:after="80" w:before="0"/>
        <w:ind w:left="720" w:hanging="720"/>
        <w:jc w:val="both"/>
      </w:pPr>
      <w:r>
        <w:rPr>
          <w:rFonts w:ascii="Times New Roman" w:hAnsi="Times New Roman" w:eastAsia="Times New Roman"/>
          <w:b w:val="0"/>
          <w:i w:val="0"/>
          <w:sz w:val="28"/>
        </w:rPr>
        <w:t>de Mattos, C. S., Pellegrini, G., Hagelaar, G., &amp; Dolfsma, W. (2024). Systematic literature review on technological transformation in SMEs: A transformation encompassing technology assimilation and business model innovation. Management Review Quarterly, 74(2), 1057–1095. https://doi.org/10.1007/s11301-023-00327-7</w:t>
      </w:r>
    </w:p>
    <w:p>
      <w:pPr>
        <w:spacing w:line="360" w:lineRule="auto" w:after="80" w:before="0"/>
        <w:ind w:left="720" w:hanging="720"/>
        <w:jc w:val="both"/>
      </w:pPr>
      <w:r>
        <w:rPr>
          <w:rFonts w:ascii="Times New Roman" w:hAnsi="Times New Roman" w:eastAsia="Times New Roman"/>
          <w:b w:val="0"/>
          <w:i w:val="0"/>
          <w:sz w:val="28"/>
        </w:rPr>
        <w:t>Hanelt, A., Bohnsack, R., Marz, D., &amp; Antunes Marante, C. (2021). A systematic review of the literature on digital transformation: Insights and implications for strategy and organizational change. Journal of Management Studies, 58(5), 1159–1197. https://doi.org/10.1111/joms.12639</w:t>
      </w:r>
    </w:p>
    <w:p>
      <w:pPr>
        <w:spacing w:line="360" w:lineRule="auto" w:after="80" w:before="0"/>
        <w:ind w:left="720" w:hanging="720"/>
        <w:jc w:val="both"/>
      </w:pPr>
      <w:r>
        <w:rPr>
          <w:rFonts w:ascii="Times New Roman" w:hAnsi="Times New Roman" w:eastAsia="Times New Roman"/>
          <w:b w:val="0"/>
          <w:i w:val="0"/>
          <w:sz w:val="28"/>
        </w:rPr>
        <w:t>Kraus, S., Durst, S., Ferreira, J. J., Veiga, P., Kailer, N., &amp; Weinmann, A. (2022). Digital transformation in business and management research: An overview of the current status quo. International Journal of Information Management, 63, 102466. https://doi.org/10.1016/j.ijinfomgt.2021.102466</w:t>
      </w:r>
    </w:p>
    <w:p>
      <w:pPr>
        <w:spacing w:line="360" w:lineRule="auto" w:after="80" w:before="0"/>
        <w:ind w:left="720" w:hanging="720"/>
        <w:jc w:val="both"/>
      </w:pPr>
      <w:r>
        <w:rPr>
          <w:rFonts w:ascii="Times New Roman" w:hAnsi="Times New Roman" w:eastAsia="Times New Roman"/>
          <w:b w:val="0"/>
          <w:i w:val="0"/>
          <w:sz w:val="28"/>
        </w:rPr>
        <w:t>Kump, B., Engelmann, A., Kessler, A., &amp; Schweiger, C. (2019). Toward a dynamic capabilities scale: Measuring organizational sensing, seizing, and transforming capacities. Industrial and Corporate Change, 28(5), 1149–1172. https://doi.org/10.1093/icc/dty054</w:t>
      </w:r>
    </w:p>
    <w:p>
      <w:pPr>
        <w:spacing w:line="360" w:lineRule="auto" w:after="80" w:before="0"/>
        <w:ind w:left="720" w:hanging="720"/>
        <w:jc w:val="both"/>
      </w:pPr>
      <w:r>
        <w:rPr>
          <w:rFonts w:ascii="Times New Roman" w:hAnsi="Times New Roman" w:eastAsia="Times New Roman"/>
          <w:b w:val="0"/>
          <w:i w:val="0"/>
          <w:sz w:val="28"/>
        </w:rPr>
        <w:t>Nambisan, S., Wright, M., &amp; Feldman, M. (2019). The digital transformation of innovation and entrepreneurship: Progress, challenges and key themes. Research Policy, 48(8), 103773. https://doi.org/10.1016/j.respol.2019.03.018</w:t>
      </w:r>
    </w:p>
    <w:p>
      <w:pPr>
        <w:spacing w:line="360" w:lineRule="auto" w:after="80" w:before="0"/>
        <w:ind w:left="720" w:hanging="720"/>
        <w:jc w:val="both"/>
      </w:pPr>
      <w:r>
        <w:rPr>
          <w:rFonts w:ascii="Times New Roman" w:hAnsi="Times New Roman" w:eastAsia="Times New Roman"/>
          <w:b w:val="0"/>
          <w:i w:val="0"/>
          <w:sz w:val="28"/>
        </w:rPr>
        <w:t>OECD. (2021). The digital transformation of SMEs. Paris: OECD Publishing. https://doi.org/10.1787/bdb9256a-en</w:t>
      </w:r>
    </w:p>
    <w:p>
      <w:pPr>
        <w:spacing w:line="360" w:lineRule="auto" w:after="80" w:before="0"/>
        <w:ind w:left="720" w:hanging="720"/>
        <w:jc w:val="both"/>
      </w:pPr>
      <w:r>
        <w:rPr>
          <w:rFonts w:ascii="Times New Roman" w:hAnsi="Times New Roman" w:eastAsia="Times New Roman"/>
          <w:b w:val="0"/>
          <w:i w:val="0"/>
          <w:sz w:val="28"/>
        </w:rPr>
        <w:t>OECD, &amp; ERIA. (2024). SME Policy Index: ASEAN 2024 – Enabling sustainable growth and digitalisation. Paris: OECD Publishing / Jakarta: Economic Research Institute for ASEAN and East Asia. https://doi.org/10.1787/f1f0c5f3-en</w:t>
      </w:r>
    </w:p>
    <w:p>
      <w:pPr>
        <w:spacing w:line="360" w:lineRule="auto" w:after="80" w:before="0"/>
        <w:ind w:left="720" w:hanging="720"/>
        <w:jc w:val="both"/>
      </w:pPr>
      <w:r>
        <w:rPr>
          <w:rFonts w:ascii="Times New Roman" w:hAnsi="Times New Roman" w:eastAsia="Times New Roman"/>
          <w:b w:val="0"/>
          <w:i w:val="0"/>
          <w:sz w:val="28"/>
        </w:rPr>
        <w:t>Sagala, G. H., &amp; Őri, D. (2024). Toward SMEs digital transformation success: A systematic literature review. Information Systems and e-Business Management, 22(4), 667–719. https://doi.org/10.1007/s10257-024-00682-2</w:t>
      </w:r>
    </w:p>
    <w:p>
      <w:pPr>
        <w:spacing w:line="360" w:lineRule="auto" w:after="80" w:before="0"/>
        <w:ind w:left="720" w:hanging="720"/>
        <w:jc w:val="both"/>
      </w:pPr>
      <w:r>
        <w:rPr>
          <w:rFonts w:ascii="Times New Roman" w:hAnsi="Times New Roman" w:eastAsia="Times New Roman"/>
          <w:b w:val="0"/>
          <w:i w:val="0"/>
          <w:sz w:val="28"/>
        </w:rPr>
        <w:t>Teece, D. J. (2007). Explicating dynamic capabilities: The nature and microfoundations of (sustainable) enterprise performance. Strategic Management Journal, 28(13), 1319–1350. https://doi.org/10.1002/smj.640</w:t>
      </w:r>
    </w:p>
    <w:p>
      <w:pPr>
        <w:spacing w:line="360" w:lineRule="auto" w:after="80" w:before="0"/>
        <w:ind w:left="720" w:hanging="720"/>
        <w:jc w:val="both"/>
      </w:pPr>
      <w:r>
        <w:rPr>
          <w:rFonts w:ascii="Times New Roman" w:hAnsi="Times New Roman" w:eastAsia="Times New Roman"/>
          <w:b w:val="0"/>
          <w:i w:val="0"/>
          <w:sz w:val="28"/>
        </w:rPr>
        <w:t>Teng, X., Wu, Z., &amp; Yang, F. (2022). Research on the relationship between digital transformation and performance of SMEs. Sustainability, 14(10), 6012. https://doi.org/10.3390/su14106012</w:t>
      </w:r>
    </w:p>
    <w:p>
      <w:pPr>
        <w:spacing w:line="360" w:lineRule="auto" w:after="80" w:before="0"/>
        <w:ind w:left="720" w:hanging="720"/>
        <w:jc w:val="both"/>
      </w:pPr>
      <w:r>
        <w:rPr>
          <w:rFonts w:ascii="Times New Roman" w:hAnsi="Times New Roman" w:eastAsia="Times New Roman"/>
          <w:b w:val="0"/>
          <w:i w:val="0"/>
          <w:sz w:val="28"/>
        </w:rPr>
        <w:t>Tornatzky, L. G., &amp; Fleischer, M. (1990). The processes of technological innovation. Lexington, MA: Lexington Books.</w:t>
      </w:r>
    </w:p>
    <w:p>
      <w:pPr>
        <w:spacing w:line="360" w:lineRule="auto" w:after="80" w:before="0"/>
        <w:ind w:left="720" w:hanging="720"/>
        <w:jc w:val="both"/>
      </w:pPr>
      <w:r>
        <w:rPr>
          <w:rFonts w:ascii="Times New Roman" w:hAnsi="Times New Roman" w:eastAsia="Times New Roman"/>
          <w:b w:val="0"/>
          <w:i w:val="0"/>
          <w:sz w:val="28"/>
        </w:rPr>
        <w:t>UNESCAP. (2025). Uzbekistan foresight on digital public services for small and medium-sized enterprises [Foresight workshop]. Bangkok: United Nations Economic and Social Commission for Asia and the Pacific. https://www.unescap.org/events/2025/uzbekistan-foresight-digital-public-services-small-and-medium-sized-enterprises</w:t>
      </w:r>
    </w:p>
    <w:p>
      <w:pPr>
        <w:spacing w:line="360" w:lineRule="auto" w:after="80" w:before="0"/>
        <w:ind w:left="720" w:hanging="720"/>
        <w:jc w:val="both"/>
      </w:pPr>
      <w:r>
        <w:rPr>
          <w:rFonts w:ascii="Times New Roman" w:hAnsi="Times New Roman" w:eastAsia="Times New Roman"/>
          <w:b w:val="0"/>
          <w:i w:val="0"/>
          <w:sz w:val="28"/>
        </w:rPr>
        <w:t>Venkatesh, V., Morris, M. G., Davis, G. B., &amp; Davis, F. D. (2003). User acceptance of information technology: Toward a unified view. MIS Quarterly, 27(3), 425–478. https://doi.org/10.2307/30036540</w:t>
      </w:r>
    </w:p>
    <w:p>
      <w:pPr>
        <w:spacing w:line="360" w:lineRule="auto" w:after="80" w:before="0"/>
        <w:ind w:left="720" w:hanging="720"/>
        <w:jc w:val="both"/>
      </w:pPr>
      <w:r>
        <w:rPr>
          <w:rFonts w:ascii="Times New Roman" w:hAnsi="Times New Roman" w:eastAsia="Times New Roman"/>
          <w:b w:val="0"/>
          <w:i w:val="0"/>
          <w:sz w:val="28"/>
        </w:rPr>
        <w:t>Verhoef, P. C., Broekhuizen, T., Bart, Y., Bhattacharya, A., Qi Dong, J., Fabian, N., &amp; Haenlein, M. (2021). Digital transformation: A multidisciplinary reflection and research agenda. Journal of Business Research, 122, 889–901. https://doi.org/10.1016/j.jbusres.2019.09.022</w:t>
      </w:r>
    </w:p>
    <w:p>
      <w:pPr>
        <w:spacing w:line="360" w:lineRule="auto" w:after="80" w:before="0"/>
        <w:ind w:left="720" w:hanging="720"/>
        <w:jc w:val="both"/>
      </w:pPr>
      <w:r>
        <w:rPr>
          <w:rFonts w:ascii="Times New Roman" w:hAnsi="Times New Roman" w:eastAsia="Times New Roman"/>
          <w:b w:val="0"/>
          <w:i w:val="0"/>
          <w:sz w:val="28"/>
        </w:rPr>
        <w:t>Vial, G. (2019). Understanding digital transformation: A review and a research agenda. The Journal of Strategic Information Systems, 28(2), 118–144. https://doi.org/10.1016/j.jsis.2019.01.003</w:t>
      </w:r>
    </w:p>
    <w:p>
      <w:pPr>
        <w:spacing w:line="360" w:lineRule="auto" w:after="80" w:before="0"/>
        <w:ind w:left="720" w:hanging="720"/>
        <w:jc w:val="both"/>
      </w:pPr>
      <w:r>
        <w:rPr>
          <w:rFonts w:ascii="Times New Roman" w:hAnsi="Times New Roman" w:eastAsia="Times New Roman"/>
          <w:b w:val="0"/>
          <w:i w:val="0"/>
          <w:sz w:val="28"/>
        </w:rPr>
        <w:t>Warner, K. S. R., &amp; Wäger, M. (2019). Building dynamic capabilities for digital transformation: An ongoing process of strategic renewal. Long Range Planning, 52(3), 326–349. https://doi.org/10.1016/j.lrp.2018.12.001</w:t>
      </w:r>
    </w:p>
    <w:p>
      <w:pPr>
        <w:spacing w:line="360" w:lineRule="auto" w:after="80" w:before="0"/>
        <w:ind w:left="720" w:hanging="720"/>
        <w:jc w:val="both"/>
      </w:pPr>
      <w:r>
        <w:rPr>
          <w:rFonts w:ascii="Times New Roman" w:hAnsi="Times New Roman" w:eastAsia="Times New Roman"/>
          <w:b w:val="0"/>
          <w:i w:val="0"/>
          <w:sz w:val="28"/>
        </w:rPr>
        <w:t>Westerman, G., Bonnet, D., &amp; McAfee, A. (2014). Leading digital: Turning technology into business transformation. Boston, MA: Harvard Business Review Press.</w:t>
      </w:r>
    </w:p>
    <w:p>
      <w:pPr>
        <w:spacing w:line="360" w:lineRule="auto" w:after="80" w:before="0"/>
        <w:ind w:left="720" w:hanging="720"/>
        <w:jc w:val="both"/>
      </w:pPr>
      <w:r>
        <w:rPr>
          <w:rFonts w:ascii="Times New Roman" w:hAnsi="Times New Roman" w:eastAsia="Times New Roman"/>
          <w:b w:val="0"/>
          <w:i w:val="0"/>
          <w:sz w:val="28"/>
        </w:rPr>
        <w:t>World Bank. (2023). Supporting Uzbekistan in developing the digital economy and creating new jobs in the information technology sector [Country update]. Washington, DC: World Bank. https://www.worldbank.org/en/news/press-release/2023/11/30/world-bank-to-support-uzbekistan-in-developing-the-digital-economy-and-creating-new-jobs-in-the-it-sector</w:t>
      </w:r>
    </w:p>
    <w:p>
      <w:pPr>
        <w:spacing w:line="360" w:lineRule="auto" w:after="80" w:before="0"/>
        <w:ind w:left="720" w:hanging="720"/>
        <w:jc w:val="both"/>
      </w:pPr>
      <w:r>
        <w:rPr>
          <w:rFonts w:ascii="Times New Roman" w:hAnsi="Times New Roman" w:eastAsia="Times New Roman"/>
          <w:b w:val="0"/>
          <w:i w:val="0"/>
          <w:sz w:val="28"/>
        </w:rPr>
        <w:t>World Bank. (2024). World Bank Enterprise Survey 2024: Uzbekistan (UZB_2024_WBES) [Data set]. Washington, DC: World Bank Group. https://microdata.worldbank.org/index.php/catalog/6711</w:t>
      </w:r>
    </w:p>
    <w:p>
      <w:pPr>
        <w:spacing w:line="360" w:lineRule="auto" w:after="80" w:before="0"/>
        <w:ind w:left="720" w:hanging="720"/>
        <w:jc w:val="both"/>
      </w:pPr>
      <w:r>
        <w:rPr>
          <w:rFonts w:ascii="Times New Roman" w:hAnsi="Times New Roman" w:eastAsia="Times New Roman"/>
          <w:b w:val="0"/>
          <w:i w:val="0"/>
          <w:sz w:val="28"/>
        </w:rPr>
        <w:t>World Bank. (2025). Improved access to finance to help businesses in Uzbekistan grow and create jobs [Country update]. Washington, DC: World Bank. https://www.worldbank.org/en/news/press-release/2025/12/15/improved-access-to-finance-to-help-7000-businesses-in-uzbekistan-grow-and-create-jobs</w:t>
      </w:r>
    </w:p>
    <w:p>
      <w:pPr>
        <w:spacing w:line="360" w:lineRule="auto" w:after="80" w:before="0"/>
        <w:ind w:left="720" w:hanging="720"/>
        <w:jc w:val="both"/>
      </w:pPr>
      <w:r>
        <w:rPr>
          <w:rFonts w:ascii="Times New Roman" w:hAnsi="Times New Roman" w:eastAsia="Times New Roman"/>
          <w:b w:val="0"/>
          <w:i w:val="0"/>
          <w:sz w:val="28"/>
        </w:rPr>
        <w:t>Yoshino, N., &amp; Taghizadeh-Hesary, F. (2016). Major challenges facing small and medium-sized enterprises in Asia and solutions for mitigating them (ADBI Working Paper No. 564). Tokyo: Asian Development Bank Institute. https://www.adb.org/publications/major-challenges-facing-small-and-medium-sized-enterprises-asia-and-solutions</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