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00" w:before="0"/>
        <w:jc w:val="center"/>
      </w:pPr>
      <w:r>
        <w:rPr>
          <w:rFonts w:ascii="Times New Roman" w:hAnsi="Times New Roman" w:eastAsia="Times New Roman"/>
          <w:b/>
          <w:i w:val="0"/>
          <w:sz w:val="28"/>
        </w:rPr>
        <w:t>DIGITAL TRANSFORMATION AND THE PERFORMANCE OF SMALL AND MEDIUM-SIZED ENTERPRISES: A MANAGEMENT FRAMEWORK AND EVIDENCE FROM THE EUROPEAN UNION</w:t>
      </w:r>
    </w:p>
    <w:p>
      <w:pPr>
        <w:spacing w:line="240" w:lineRule="auto" w:after="40" w:before="0"/>
        <w:jc w:val="center"/>
      </w:pPr>
      <w:r>
        <w:rPr>
          <w:rFonts w:ascii="Times New Roman" w:hAnsi="Times New Roman" w:eastAsia="Times New Roman"/>
          <w:b/>
          <w:i w:val="0"/>
          <w:sz w:val="28"/>
        </w:rPr>
        <w:t>[Author Name], [e-mail]</w:t>
      </w:r>
    </w:p>
    <w:p>
      <w:pPr>
        <w:spacing w:line="240" w:lineRule="auto" w:after="40" w:before="0"/>
        <w:jc w:val="center"/>
      </w:pPr>
      <w:r>
        <w:rPr>
          <w:rFonts w:ascii="Times New Roman" w:hAnsi="Times New Roman" w:eastAsia="Times New Roman"/>
          <w:b/>
          <w:i w:val="0"/>
          <w:sz w:val="28"/>
        </w:rPr>
        <w:t>[Department]</w:t>
      </w:r>
    </w:p>
    <w:p>
      <w:pPr>
        <w:spacing w:line="240" w:lineRule="auto" w:after="240" w:before="0"/>
        <w:jc w:val="center"/>
      </w:pPr>
      <w:r>
        <w:rPr>
          <w:rFonts w:ascii="Times New Roman" w:hAnsi="Times New Roman" w:eastAsia="Times New Roman"/>
          <w:b/>
          <w:i w:val="0"/>
          <w:sz w:val="28"/>
        </w:rPr>
        <w:t>[Institution]</w:t>
      </w:r>
    </w:p>
    <w:p>
      <w:pPr>
        <w:spacing w:line="240" w:lineRule="auto" w:after="160" w:before="0"/>
        <w:jc w:val="both"/>
      </w:pPr>
      <w:r>
        <w:rPr>
          <w:rFonts w:ascii="Times New Roman" w:hAnsi="Times New Roman" w:eastAsia="Times New Roman"/>
          <w:b w:val="0"/>
          <w:i w:val="0"/>
          <w:sz w:val="28"/>
        </w:rPr>
        <w:t>Abstract: Digital transformation has become the central management challenge for small and medium-sized enterprises (SMEs), which account for the bulk of employment and value added in the European economy yet adopt digital technologies more slowly than large firms. This article develops a management framework that explains how SMEs convert digital technologies into superior performance. Building on the dynamic-capabilities perspective and on the distinction between digitisation, digitalisation and digital transformation, the framework links external drivers to the firm’s sensing, seizing and reconfiguring capabilities, to the depth of the transformation undertaken, and ultimately to productivity, growth and resilience, with a reinvestment feedback loop. A composite digital-transformation intensity index is proposed to make the construct measurable for management purposes. The framework is confronted with official European evidence, which shows a persistent gap between the European Union’s Digital Decade ambition and the actual digital intensity of SMEs, and a particularly wide gap for lagging member states such as Bulgaria. The analysis yields concrete managerial and policy recommendations on capability building, technology adoption, digital skills, cybersecurity and targeted public support.</w:t>
      </w:r>
    </w:p>
    <w:p>
      <w:pPr>
        <w:spacing w:line="240" w:lineRule="auto" w:after="80" w:before="0"/>
        <w:jc w:val="both"/>
      </w:pPr>
      <w:r>
        <w:rPr>
          <w:rFonts w:ascii="Times New Roman" w:hAnsi="Times New Roman" w:eastAsia="Times New Roman"/>
          <w:b w:val="0"/>
          <w:i w:val="0"/>
          <w:sz w:val="28"/>
        </w:rPr>
        <w:t>Key words: digital transformation; small and medium-sized enterprises; dynamic capabilities; firm performance; technology adoption.</w:t>
      </w:r>
    </w:p>
    <w:p>
      <w:pPr>
        <w:spacing w:line="240" w:lineRule="auto" w:after="240"/>
        <w:jc w:val="both"/>
      </w:pPr>
      <w:r>
        <w:rPr>
          <w:rFonts w:ascii="Times New Roman" w:hAnsi="Times New Roman" w:eastAsia="Times New Roman"/>
          <w:b/>
          <w:i w:val="0"/>
          <w:sz w:val="28"/>
        </w:rPr>
        <w:t>JEL: M15, M21, O33, L25, D22.</w:t>
      </w:r>
    </w:p>
    <w:p>
      <w:pPr>
        <w:spacing w:line="360" w:lineRule="auto" w:before="200" w:after="120"/>
        <w:jc w:val="left"/>
      </w:pPr>
      <w:r>
        <w:rPr>
          <w:rFonts w:ascii="Times New Roman" w:hAnsi="Times New Roman" w:eastAsia="Times New Roman"/>
          <w:b/>
          <w:i w:val="0"/>
          <w:sz w:val="28"/>
        </w:rPr>
        <w:t>Introduction</w:t>
      </w:r>
    </w:p>
    <w:p>
      <w:pPr>
        <w:spacing w:line="360" w:lineRule="auto" w:after="120" w:before="0"/>
        <w:ind w:firstLine="432"/>
        <w:jc w:val="both"/>
      </w:pPr>
      <w:r>
        <w:rPr>
          <w:rFonts w:ascii="Times New Roman" w:hAnsi="Times New Roman" w:eastAsia="Times New Roman"/>
          <w:b w:val="0"/>
          <w:i w:val="0"/>
          <w:sz w:val="28"/>
        </w:rPr>
        <w:t>Digital technologies — cloud computing, data analytics, artificial intelligence, e-commerce platforms and connected devices — have moved from being a support function to being the principal arena of competition. For enterprises of every size, the management question is no longer whether to adopt such technologies but how to convert them into durable improvements in performance. This question is most acute for small and medium-sized enterprises (SMEs). They constitute the overwhelming majority of firms in the European Union and generate a large share of employment and value added, yet they adopt advanced digital technologies more slowly than large firms and face tighter constraints on finance, skills and managerial capacity (OECD, 2021).</w:t>
      </w:r>
    </w:p>
    <w:p>
      <w:pPr>
        <w:spacing w:line="360" w:lineRule="auto" w:after="120" w:before="0"/>
        <w:ind w:firstLine="432"/>
        <w:jc w:val="both"/>
      </w:pPr>
      <w:r>
        <w:rPr>
          <w:rFonts w:ascii="Times New Roman" w:hAnsi="Times New Roman" w:eastAsia="Times New Roman"/>
          <w:b w:val="0"/>
          <w:i w:val="0"/>
          <w:sz w:val="28"/>
        </w:rPr>
        <w:t>The literature has clarified what digital transformation is but has paid less attention to the specific managerial mechanisms through which a resource-constrained SME turns technology into results. Digital transformation is more than the purchase of software; it is an organisational change process in which digital technologies reshape value creation, operations and the business model itself (Vial, 2019; Verhoef et al., 2021). Whether that process raises performance depends on the capabilities the firm can mobilise around it (Teece, 2007; Warner &amp; Wäger, 2019). For SMEs, where these capabilities are scarce, the gap between adopting a technology and benefiting from it is correspondingly wide.</w:t>
      </w:r>
    </w:p>
    <w:p>
      <w:pPr>
        <w:spacing w:line="360" w:lineRule="auto" w:after="120" w:before="0"/>
        <w:ind w:firstLine="432"/>
        <w:jc w:val="both"/>
      </w:pPr>
      <w:r>
        <w:rPr>
          <w:rFonts w:ascii="Times New Roman" w:hAnsi="Times New Roman" w:eastAsia="Times New Roman"/>
          <w:b w:val="0"/>
          <w:i w:val="0"/>
          <w:sz w:val="28"/>
        </w:rPr>
        <w:t>This article addresses that gap with a management framework that connects the external drivers of digital transformation, the dynamic capabilities of the firm, the depth of the transformation undertaken and the resulting performance, closed by a reinvestment feedback loop. The framework is deliberately managerial and is made operational through a composite index of digital-transformation intensity. It is then confronted with official European evidence on the digital uptake of SMEs, including the position of a lagging member state, Bulgaria, to ground the discussion in the European policy context of the Digital Decade.</w:t>
      </w:r>
    </w:p>
    <w:p>
      <w:pPr>
        <w:spacing w:line="360" w:lineRule="auto" w:after="120" w:before="0"/>
        <w:ind w:firstLine="432"/>
        <w:jc w:val="both"/>
      </w:pPr>
      <w:r>
        <w:rPr>
          <w:rFonts w:ascii="Times New Roman" w:hAnsi="Times New Roman" w:eastAsia="Times New Roman"/>
          <w:b w:val="0"/>
          <w:i w:val="0"/>
          <w:sz w:val="28"/>
        </w:rPr>
        <w:t>The contribution is threefold. The study (i) integrates the process view of digital transformation with the dynamic-capabilities perspective into a single, SME-oriented management framework; (ii) proposes a measurable digital-transformation intensity index that managers and analysts can apply; and (iii) derives evidence-based managerial and policy recommendations. The remainder of the article is organised as follows. Section 1 reviews the literature and defines the core constructs. Section 2 presents the framework and the index. Section 3 examines the European and Bulgarian evidence. Section 4 discusses the management and policy implications. The final section concludes.</w:t>
      </w:r>
    </w:p>
    <w:p>
      <w:pPr>
        <w:spacing w:line="360" w:lineRule="auto" w:before="200" w:after="120"/>
        <w:jc w:val="left"/>
      </w:pPr>
      <w:r>
        <w:rPr>
          <w:rFonts w:ascii="Times New Roman" w:hAnsi="Times New Roman" w:eastAsia="Times New Roman"/>
          <w:b/>
          <w:i w:val="0"/>
          <w:sz w:val="28"/>
        </w:rPr>
        <w:t>1. Theoretical background and literature review</w:t>
      </w:r>
    </w:p>
    <w:p>
      <w:pPr>
        <w:spacing w:line="360" w:lineRule="auto" w:after="120" w:before="0"/>
        <w:ind w:firstLine="432"/>
        <w:jc w:val="both"/>
      </w:pPr>
      <w:r>
        <w:rPr>
          <w:rFonts w:ascii="Times New Roman" w:hAnsi="Times New Roman" w:eastAsia="Times New Roman"/>
          <w:b w:val="0"/>
          <w:i w:val="0"/>
          <w:sz w:val="28"/>
        </w:rPr>
        <w:t>Research distinguishes three increasingly profound stages of digital change. Digitisation is the conversion of analogue information into digital form; digitalisation is the use of digital technologies to improve existing processes; and digital transformation is the deeper, firm-wide change in which technology reconfigures value creation and the business model (Verhoef et al., 2021). Vial (2019), synthesising a large body of work, defines digital transformation as a process in which digital technologies trigger strategic responses that alter value-creation paths while the firm manages structural change and organisational barriers. The implication for management is that technology alone does not deliver value; the value comes from the organisational changes that accompany it.</w:t>
      </w:r>
    </w:p>
    <w:p>
      <w:pPr>
        <w:spacing w:line="360" w:lineRule="auto" w:after="120" w:before="0"/>
        <w:ind w:firstLine="432"/>
        <w:jc w:val="both"/>
      </w:pPr>
      <w:r>
        <w:rPr>
          <w:rFonts w:ascii="Times New Roman" w:hAnsi="Times New Roman" w:eastAsia="Times New Roman"/>
          <w:b w:val="0"/>
          <w:i w:val="0"/>
          <w:sz w:val="28"/>
        </w:rPr>
        <w:t>The dynamic-capabilities perspective explains why firms facing the same technologies achieve different results. Teece (2007) decomposes the capacity to sustain performance in changing environments into three classes of capability: sensing opportunities and threats, seizing them through investment and business-model choices, and reconfiguring the resource base accordingly. Warner and Wäger (2019) show that digital transformation is precisely an ongoing process of strategic renewal in which these capabilities are built and rebuilt. Bharadwaj, El Sawy, Pavlou and Venkatraman (2013) argue that, in this environment, digital strategy can no longer be a functional adjunct to business strategy but must be fused with it. Westerman, Bonnet and McAfee (2014) add that the binding constraint is usually leadership and management capability rather than technology as such, and Fitzgerald, Kruschwitz, Bonnet and Welch (2014) document that firms widely recognise digital technology as a strategic imperative while struggling to execute it.</w:t>
      </w:r>
    </w:p>
    <w:p>
      <w:pPr>
        <w:spacing w:line="360" w:lineRule="auto" w:after="120" w:before="0"/>
        <w:ind w:firstLine="432"/>
        <w:jc w:val="both"/>
      </w:pPr>
      <w:r>
        <w:rPr>
          <w:rFonts w:ascii="Times New Roman" w:hAnsi="Times New Roman" w:eastAsia="Times New Roman"/>
          <w:b w:val="0"/>
          <w:i w:val="0"/>
          <w:sz w:val="28"/>
        </w:rPr>
        <w:t>A further strand examines how the decision to adopt a technology is actually taken. The technology acceptance model relates adoption to perceived usefulness and perceived ease of use (Davis, 1989), and the unified theory of acceptance and use of technology adds performance and effort expectancy, social influence and facilitating conditions (Venkatesh, Morris, Davis &amp; Davis, 2003). At the organisational level, the technology–organisation–environment framework situates adoption in the interplay of technological readiness, organisational resources and the external environment (Tornatzky &amp; Fleischer, 1990). For SMEs these frameworks are particularly relevant because the adoption decision is concentrated in a small management team and is highly sensitive to skills, cost and the surrounding ecosystem.</w:t>
      </w:r>
    </w:p>
    <w:p>
      <w:pPr>
        <w:spacing w:line="360" w:lineRule="auto" w:after="120" w:before="0"/>
        <w:ind w:firstLine="432"/>
        <w:jc w:val="both"/>
      </w:pPr>
      <w:r>
        <w:rPr>
          <w:rFonts w:ascii="Times New Roman" w:hAnsi="Times New Roman" w:eastAsia="Times New Roman"/>
          <w:b w:val="0"/>
          <w:i w:val="0"/>
          <w:sz w:val="28"/>
        </w:rPr>
        <w:t>Finally, a policy-oriented strand documents the SME-specific character of digital transformation. The OECD (2021) shows that SMEs lag larger firms across most digital indicators and that the barriers are systematic — scarce internal skills, limited finance, uncertainty about returns and exposure to digital-security risk. Nambisan, Wright and Feldman (2019) emphasise that digital technologies also reshape the innovation and entrepreneurship process itself, lowering some entry barriers while raising the premium on digital capability. Taken together, the literature motivates a framework in which external drivers, firm-level capabilities and the depth of transformation jointly determine SME performance.</w:t>
      </w:r>
    </w:p>
    <w:p>
      <w:pPr>
        <w:spacing w:line="360" w:lineRule="auto" w:before="200" w:after="120"/>
        <w:jc w:val="left"/>
      </w:pPr>
      <w:r>
        <w:rPr>
          <w:rFonts w:ascii="Times New Roman" w:hAnsi="Times New Roman" w:eastAsia="Times New Roman"/>
          <w:b/>
          <w:i w:val="0"/>
          <w:sz w:val="28"/>
        </w:rPr>
        <w:t>2. A management framework and a measure of digital-transformation intensity</w:t>
      </w:r>
    </w:p>
    <w:p>
      <w:pPr>
        <w:spacing w:line="360" w:lineRule="auto" w:after="120" w:before="0"/>
        <w:ind w:firstLine="432"/>
        <w:jc w:val="both"/>
      </w:pPr>
      <w:r>
        <w:rPr>
          <w:rFonts w:ascii="Times New Roman" w:hAnsi="Times New Roman" w:eastAsia="Times New Roman"/>
          <w:b w:val="0"/>
          <w:i w:val="0"/>
          <w:sz w:val="28"/>
        </w:rPr>
        <w:t>The framework proposed here links four blocks in sequence, with a feedback loop, and is summarised in Figure 1. The first block is the set of external drivers: market and competitive pressure, the availability and cost of digital technologies, and the policy environment, including funding and regulation. Drivers create the incentive and the opportunity to transform, but they do not determine the outcome.</w:t>
      </w:r>
    </w:p>
    <w:p>
      <w:pPr>
        <w:spacing w:line="360" w:lineRule="auto" w:after="120" w:before="0"/>
        <w:ind w:firstLine="432"/>
        <w:jc w:val="both"/>
      </w:pPr>
      <w:r>
        <w:rPr>
          <w:rFonts w:ascii="Times New Roman" w:hAnsi="Times New Roman" w:eastAsia="Times New Roman"/>
          <w:b w:val="0"/>
          <w:i w:val="0"/>
          <w:sz w:val="28"/>
        </w:rPr>
        <w:t>The second block is the firm’s dynamic capabilities. Following Teece (2007), an SME senses digital opportunities and threats, seizes them by investing in technology and adjusting its business model, and reconfigures its processes, skills and structure so that the technology is actually used. These capabilities are the scarce managerial resource that converts drivers into transformation. The third block is the depth of the digital transformation undertaken, ranging from simple digitisation, through the digitalisation of processes, to genuine business-model change (Verhoef et al., 2021). The fourth block is performance: productivity, growth and export reach, and resilience to shocks. A feedback loop closes the framework: performance gains generate the resources that are reinvested in further capability building and technology, so that successful SMEs can enter a virtuous cycle while laggards fall further behind.</w:t>
      </w:r>
    </w:p>
    <w:p>
      <w:pPr>
        <w:spacing w:line="360" w:lineRule="auto" w:after="120" w:before="0"/>
        <w:ind w:firstLine="432"/>
        <w:jc w:val="both"/>
      </w:pPr>
      <w:r>
        <w:rPr>
          <w:rFonts w:ascii="Times New Roman" w:hAnsi="Times New Roman" w:eastAsia="Times New Roman"/>
          <w:b w:val="0"/>
          <w:i w:val="0"/>
          <w:sz w:val="28"/>
        </w:rPr>
        <w:t>To make the central construct measurable for management, let digital-transformation intensity of a firm be a weighted composite of the technologies and practices actually in use,</w:t>
      </w:r>
    </w:p>
    <w:p>
      <w:pPr>
        <w:spacing w:line="360" w:lineRule="auto" w:before="80" w:after="80"/>
        <w:jc w:val="center"/>
      </w:pPr>
      <w:r>
        <w:rPr>
          <w:rFonts w:ascii="Times New Roman" w:hAnsi="Times New Roman" w:eastAsia="Times New Roman"/>
          <w:b w:val="0"/>
          <w:i/>
          <w:sz w:val="28"/>
        </w:rPr>
        <w:t>DTI = Σᵢ wᵢ · aᵢ ,   with  Σᵢ wᵢ = 1,</w:t>
      </w:r>
      <w:r>
        <w:rPr>
          <w:rFonts w:ascii="Times New Roman" w:hAnsi="Times New Roman" w:eastAsia="Times New Roman"/>
          <w:b w:val="0"/>
          <w:i w:val="0"/>
          <w:sz w:val="28"/>
        </w:rPr>
        <w:tab/>
        <w:tab/>
        <w:tab/>
        <w:tab/>
        <w:tab/>
        <w:t>(1)</w:t>
      </w:r>
    </w:p>
    <w:p>
      <w:pPr>
        <w:spacing w:line="360" w:lineRule="auto" w:after="120" w:before="0"/>
        <w:ind w:firstLine="432"/>
        <w:jc w:val="both"/>
      </w:pPr>
      <w:r>
        <w:rPr>
          <w:rFonts w:ascii="Times New Roman" w:hAnsi="Times New Roman" w:eastAsia="Times New Roman"/>
          <w:b w:val="0"/>
          <w:i w:val="0"/>
          <w:sz w:val="28"/>
        </w:rPr>
        <w:t>where aᵢ ∈ [0, 1] is the adoption level of digital element i (for example connectivity, a website or e-commerce channel, cloud services, enterprise software, data analytics, artificial intelligence and digital-security measures) and wᵢ is its weight. The index yields a value between zero and one and corresponds, in spirit, to the “digital intensity” measures used in official European statistics. Firm performance is then modelled as increasing in digital-transformation intensity but conditional on capability,</w:t>
      </w:r>
    </w:p>
    <w:p>
      <w:pPr>
        <w:spacing w:line="360" w:lineRule="auto" w:before="80" w:after="80"/>
        <w:jc w:val="center"/>
      </w:pPr>
      <w:r>
        <w:rPr>
          <w:rFonts w:ascii="Times New Roman" w:hAnsi="Times New Roman" w:eastAsia="Times New Roman"/>
          <w:b w:val="0"/>
          <w:i/>
          <w:sz w:val="28"/>
        </w:rPr>
        <w:t>ΔP = β · DTI · C + ε ,</w:t>
      </w:r>
      <w:r>
        <w:rPr>
          <w:rFonts w:ascii="Times New Roman" w:hAnsi="Times New Roman" w:eastAsia="Times New Roman"/>
          <w:b w:val="0"/>
          <w:i w:val="0"/>
          <w:sz w:val="28"/>
        </w:rPr>
        <w:tab/>
        <w:tab/>
        <w:tab/>
        <w:tab/>
        <w:tab/>
        <w:t>(2)</w:t>
      </w:r>
    </w:p>
    <w:p>
      <w:pPr>
        <w:spacing w:line="360" w:lineRule="auto" w:after="120" w:before="0"/>
        <w:ind w:firstLine="432"/>
        <w:jc w:val="both"/>
      </w:pPr>
      <w:r>
        <w:rPr>
          <w:rFonts w:ascii="Times New Roman" w:hAnsi="Times New Roman" w:eastAsia="Times New Roman"/>
          <w:b w:val="0"/>
          <w:i w:val="0"/>
          <w:sz w:val="28"/>
        </w:rPr>
        <w:t>where ΔP is the change in a performance measure, C ∈ [0, 1] is the firm’s dynamic-capability level, β &gt; 0 is the return to transformation and ε captures other influences. The multiplicative term DTI · C expresses the core managerial proposition: technology adoption raises performance only to the extent that the firm has the capability to absorb it. A high index combined with weak capability — technology bought but not embedded — yields little gain, which is the typical failure mode for SMEs. Table 1 sets out the components of the index and the managerial levers associated with each block of the framework.</w:t>
      </w:r>
    </w:p>
    <w:p>
      <w:pPr>
        <w:spacing w:before="120"/>
        <w:jc w:val="center"/>
      </w:pPr>
      <w:r>
        <w:drawing>
          <wp:inline xmlns:a="http://schemas.openxmlformats.org/drawingml/2006/main" xmlns:pic="http://schemas.openxmlformats.org/drawingml/2006/picture">
            <wp:extent cx="5486400" cy="2777973"/>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9"/>
                    <a:stretch>
                      <a:fillRect/>
                    </a:stretch>
                  </pic:blipFill>
                  <pic:spPr>
                    <a:xfrm>
                      <a:off x="0" y="0"/>
                      <a:ext cx="5486400" cy="2777973"/>
                    </a:xfrm>
                    <a:prstGeom prst="rect"/>
                  </pic:spPr>
                </pic:pic>
              </a:graphicData>
            </a:graphic>
          </wp:inline>
        </w:drawing>
      </w:r>
    </w:p>
    <w:p>
      <w:pPr>
        <w:spacing w:line="240" w:lineRule="auto" w:after="40"/>
        <w:jc w:val="center"/>
      </w:pPr>
      <w:r>
        <w:rPr>
          <w:rFonts w:ascii="Times New Roman" w:hAnsi="Times New Roman" w:eastAsia="Times New Roman"/>
          <w:b/>
          <w:i w:val="0"/>
          <w:sz w:val="24"/>
        </w:rPr>
        <w:t>Figure 1. A management framework for digital transformation in SMEs</w:t>
      </w:r>
    </w:p>
    <w:p>
      <w:pPr>
        <w:spacing w:line="240" w:lineRule="auto" w:after="200"/>
        <w:jc w:val="center"/>
      </w:pPr>
      <w:r>
        <w:rPr>
          <w:rFonts w:ascii="Times New Roman" w:hAnsi="Times New Roman" w:eastAsia="Times New Roman"/>
          <w:b w:val="0"/>
          <w:i/>
          <w:sz w:val="22"/>
        </w:rPr>
        <w:t>Source: Authors’ elaboration based on Teece (2007), Vial (2019) and Verhoef et al. (2021).</w:t>
      </w:r>
    </w:p>
    <w:p>
      <w:pPr>
        <w:spacing w:line="240" w:lineRule="auto" w:after="40" w:before="0"/>
        <w:jc w:val="left"/>
      </w:pPr>
      <w:r>
        <w:rPr>
          <w:rFonts w:ascii="Times New Roman" w:hAnsi="Times New Roman" w:eastAsia="Times New Roman"/>
          <w:b/>
          <w:i w:val="0"/>
          <w:sz w:val="28"/>
        </w:rPr>
        <w:t>Table 1</w:t>
      </w:r>
    </w:p>
    <w:p>
      <w:pPr>
        <w:spacing w:line="240" w:lineRule="auto" w:after="80" w:before="0"/>
        <w:jc w:val="left"/>
      </w:pPr>
      <w:r>
        <w:rPr>
          <w:rFonts w:ascii="Times New Roman" w:hAnsi="Times New Roman" w:eastAsia="Times New Roman"/>
          <w:b/>
          <w:i w:val="0"/>
          <w:sz w:val="24"/>
        </w:rPr>
        <w:t>Components of digital-transformation intensity and associated managerial levers</w:t>
      </w:r>
    </w:p>
    <w:tbl>
      <w:tblPr>
        <w:tblStyle w:val="TableGrid"/>
        <w:tblW w:type="auto" w:w="0"/>
        <w:jc w:val="center"/>
        <w:tblLook w:firstColumn="1" w:firstRow="1" w:lastColumn="0" w:lastRow="0" w:noHBand="0" w:noVBand="1" w:val="04A0"/>
      </w:tblPr>
      <w:tblGrid>
        <w:gridCol w:w="2947"/>
        <w:gridCol w:w="2947"/>
        <w:gridCol w:w="2947"/>
      </w:tblGrid>
      <w:tr>
        <w:tc>
          <w:tcPr>
            <w:tcW w:type="dxa" w:w="2947"/>
          </w:tcPr>
          <w:p>
            <w:pPr>
              <w:jc w:val="center"/>
            </w:pPr>
            <w:r>
              <w:rPr>
                <w:rFonts w:ascii="Times New Roman" w:hAnsi="Times New Roman" w:eastAsia="Times New Roman"/>
                <w:b/>
                <w:i w:val="0"/>
                <w:sz w:val="24"/>
              </w:rPr>
              <w:t>Framework block</w:t>
            </w:r>
          </w:p>
        </w:tc>
        <w:tc>
          <w:tcPr>
            <w:tcW w:type="dxa" w:w="2947"/>
          </w:tcPr>
          <w:p>
            <w:pPr>
              <w:jc w:val="center"/>
            </w:pPr>
            <w:r>
              <w:rPr>
                <w:rFonts w:ascii="Times New Roman" w:hAnsi="Times New Roman" w:eastAsia="Times New Roman"/>
                <w:b/>
                <w:i w:val="0"/>
                <w:sz w:val="24"/>
              </w:rPr>
              <w:t>Digital element / capability</w:t>
            </w:r>
          </w:p>
        </w:tc>
        <w:tc>
          <w:tcPr>
            <w:tcW w:type="dxa" w:w="2947"/>
          </w:tcPr>
          <w:p>
            <w:pPr>
              <w:jc w:val="center"/>
            </w:pPr>
            <w:r>
              <w:rPr>
                <w:rFonts w:ascii="Times New Roman" w:hAnsi="Times New Roman" w:eastAsia="Times New Roman"/>
                <w:b/>
                <w:i w:val="0"/>
                <w:sz w:val="24"/>
              </w:rPr>
              <w:t>Managerial lever</w:t>
            </w:r>
          </w:p>
        </w:tc>
      </w:tr>
      <w:tr>
        <w:tc>
          <w:tcPr>
            <w:tcW w:type="dxa" w:w="2947"/>
          </w:tcPr>
          <w:p>
            <w:pPr>
              <w:jc w:val="left"/>
            </w:pPr>
            <w:r>
              <w:rPr>
                <w:rFonts w:ascii="Times New Roman" w:hAnsi="Times New Roman" w:eastAsia="Times New Roman"/>
                <w:b w:val="0"/>
                <w:i w:val="0"/>
                <w:sz w:val="24"/>
              </w:rPr>
              <w:t>Drivers</w:t>
            </w:r>
          </w:p>
        </w:tc>
        <w:tc>
          <w:tcPr>
            <w:tcW w:type="dxa" w:w="2947"/>
          </w:tcPr>
          <w:p>
            <w:pPr>
              <w:jc w:val="left"/>
            </w:pPr>
            <w:r>
              <w:rPr>
                <w:rFonts w:ascii="Times New Roman" w:hAnsi="Times New Roman" w:eastAsia="Times New Roman"/>
                <w:b w:val="0"/>
                <w:i w:val="0"/>
                <w:sz w:val="24"/>
              </w:rPr>
              <w:t>Market pressure; technology cost; policy and funding</w:t>
            </w:r>
          </w:p>
        </w:tc>
        <w:tc>
          <w:tcPr>
            <w:tcW w:type="dxa" w:w="2947"/>
          </w:tcPr>
          <w:p>
            <w:pPr>
              <w:jc w:val="left"/>
            </w:pPr>
            <w:r>
              <w:rPr>
                <w:rFonts w:ascii="Times New Roman" w:hAnsi="Times New Roman" w:eastAsia="Times New Roman"/>
                <w:b w:val="0"/>
                <w:i w:val="0"/>
                <w:sz w:val="24"/>
              </w:rPr>
              <w:t>Environmental scanning; use of public support</w:t>
            </w:r>
          </w:p>
        </w:tc>
      </w:tr>
      <w:tr>
        <w:tc>
          <w:tcPr>
            <w:tcW w:type="dxa" w:w="2947"/>
          </w:tcPr>
          <w:p>
            <w:pPr>
              <w:jc w:val="left"/>
            </w:pPr>
            <w:r>
              <w:rPr>
                <w:rFonts w:ascii="Times New Roman" w:hAnsi="Times New Roman" w:eastAsia="Times New Roman"/>
                <w:b w:val="0"/>
                <w:i w:val="0"/>
                <w:sz w:val="24"/>
              </w:rPr>
              <w:t>Sensing</w:t>
            </w:r>
          </w:p>
        </w:tc>
        <w:tc>
          <w:tcPr>
            <w:tcW w:type="dxa" w:w="2947"/>
          </w:tcPr>
          <w:p>
            <w:pPr>
              <w:jc w:val="left"/>
            </w:pPr>
            <w:r>
              <w:rPr>
                <w:rFonts w:ascii="Times New Roman" w:hAnsi="Times New Roman" w:eastAsia="Times New Roman"/>
                <w:b w:val="0"/>
                <w:i w:val="0"/>
                <w:sz w:val="24"/>
              </w:rPr>
              <w:t>Connectivity; web presence; market intelligence</w:t>
            </w:r>
          </w:p>
        </w:tc>
        <w:tc>
          <w:tcPr>
            <w:tcW w:type="dxa" w:w="2947"/>
          </w:tcPr>
          <w:p>
            <w:pPr>
              <w:jc w:val="left"/>
            </w:pPr>
            <w:r>
              <w:rPr>
                <w:rFonts w:ascii="Times New Roman" w:hAnsi="Times New Roman" w:eastAsia="Times New Roman"/>
                <w:b w:val="0"/>
                <w:i w:val="0"/>
                <w:sz w:val="24"/>
              </w:rPr>
              <w:t>Digital awareness; customer-data analysis</w:t>
            </w:r>
          </w:p>
        </w:tc>
      </w:tr>
      <w:tr>
        <w:tc>
          <w:tcPr>
            <w:tcW w:type="dxa" w:w="2947"/>
          </w:tcPr>
          <w:p>
            <w:pPr>
              <w:jc w:val="left"/>
            </w:pPr>
            <w:r>
              <w:rPr>
                <w:rFonts w:ascii="Times New Roman" w:hAnsi="Times New Roman" w:eastAsia="Times New Roman"/>
                <w:b w:val="0"/>
                <w:i w:val="0"/>
                <w:sz w:val="24"/>
              </w:rPr>
              <w:t>Seizing</w:t>
            </w:r>
          </w:p>
        </w:tc>
        <w:tc>
          <w:tcPr>
            <w:tcW w:type="dxa" w:w="2947"/>
          </w:tcPr>
          <w:p>
            <w:pPr>
              <w:jc w:val="left"/>
            </w:pPr>
            <w:r>
              <w:rPr>
                <w:rFonts w:ascii="Times New Roman" w:hAnsi="Times New Roman" w:eastAsia="Times New Roman"/>
                <w:b w:val="0"/>
                <w:i w:val="0"/>
                <w:sz w:val="24"/>
              </w:rPr>
              <w:t>Cloud services; enterprise software; e-commerce</w:t>
            </w:r>
          </w:p>
        </w:tc>
        <w:tc>
          <w:tcPr>
            <w:tcW w:type="dxa" w:w="2947"/>
          </w:tcPr>
          <w:p>
            <w:pPr>
              <w:jc w:val="left"/>
            </w:pPr>
            <w:r>
              <w:rPr>
                <w:rFonts w:ascii="Times New Roman" w:hAnsi="Times New Roman" w:eastAsia="Times New Roman"/>
                <w:b w:val="0"/>
                <w:i w:val="0"/>
                <w:sz w:val="24"/>
              </w:rPr>
              <w:t>Investment decisions; business-model redesign</w:t>
            </w:r>
          </w:p>
        </w:tc>
      </w:tr>
      <w:tr>
        <w:tc>
          <w:tcPr>
            <w:tcW w:type="dxa" w:w="2947"/>
          </w:tcPr>
          <w:p>
            <w:pPr>
              <w:jc w:val="left"/>
            </w:pPr>
            <w:r>
              <w:rPr>
                <w:rFonts w:ascii="Times New Roman" w:hAnsi="Times New Roman" w:eastAsia="Times New Roman"/>
                <w:b w:val="0"/>
                <w:i w:val="0"/>
                <w:sz w:val="24"/>
              </w:rPr>
              <w:t>Reconfiguring</w:t>
            </w:r>
          </w:p>
        </w:tc>
        <w:tc>
          <w:tcPr>
            <w:tcW w:type="dxa" w:w="2947"/>
          </w:tcPr>
          <w:p>
            <w:pPr>
              <w:jc w:val="left"/>
            </w:pPr>
            <w:r>
              <w:rPr>
                <w:rFonts w:ascii="Times New Roman" w:hAnsi="Times New Roman" w:eastAsia="Times New Roman"/>
                <w:b w:val="0"/>
                <w:i w:val="0"/>
                <w:sz w:val="24"/>
              </w:rPr>
              <w:t>Data analytics; AI; process integration</w:t>
            </w:r>
          </w:p>
        </w:tc>
        <w:tc>
          <w:tcPr>
            <w:tcW w:type="dxa" w:w="2947"/>
          </w:tcPr>
          <w:p>
            <w:pPr>
              <w:jc w:val="left"/>
            </w:pPr>
            <w:r>
              <w:rPr>
                <w:rFonts w:ascii="Times New Roman" w:hAnsi="Times New Roman" w:eastAsia="Times New Roman"/>
                <w:b w:val="0"/>
                <w:i w:val="0"/>
                <w:sz w:val="24"/>
              </w:rPr>
              <w:t>Skills development; change management</w:t>
            </w:r>
          </w:p>
        </w:tc>
      </w:tr>
      <w:tr>
        <w:tc>
          <w:tcPr>
            <w:tcW w:type="dxa" w:w="2947"/>
          </w:tcPr>
          <w:p>
            <w:pPr>
              <w:jc w:val="left"/>
            </w:pPr>
            <w:r>
              <w:rPr>
                <w:rFonts w:ascii="Times New Roman" w:hAnsi="Times New Roman" w:eastAsia="Times New Roman"/>
                <w:b w:val="0"/>
                <w:i w:val="0"/>
                <w:sz w:val="24"/>
              </w:rPr>
              <w:t>Protection</w:t>
            </w:r>
          </w:p>
        </w:tc>
        <w:tc>
          <w:tcPr>
            <w:tcW w:type="dxa" w:w="2947"/>
          </w:tcPr>
          <w:p>
            <w:pPr>
              <w:jc w:val="left"/>
            </w:pPr>
            <w:r>
              <w:rPr>
                <w:rFonts w:ascii="Times New Roman" w:hAnsi="Times New Roman" w:eastAsia="Times New Roman"/>
                <w:b w:val="0"/>
                <w:i w:val="0"/>
                <w:sz w:val="24"/>
              </w:rPr>
              <w:t>Cybersecurity and data governance</w:t>
            </w:r>
          </w:p>
        </w:tc>
        <w:tc>
          <w:tcPr>
            <w:tcW w:type="dxa" w:w="2947"/>
          </w:tcPr>
          <w:p>
            <w:pPr>
              <w:jc w:val="left"/>
            </w:pPr>
            <w:r>
              <w:rPr>
                <w:rFonts w:ascii="Times New Roman" w:hAnsi="Times New Roman" w:eastAsia="Times New Roman"/>
                <w:b w:val="0"/>
                <w:i w:val="0"/>
                <w:sz w:val="24"/>
              </w:rPr>
              <w:t>Risk management; compliance</w:t>
            </w:r>
          </w:p>
        </w:tc>
      </w:tr>
      <w:tr>
        <w:tc>
          <w:tcPr>
            <w:tcW w:type="dxa" w:w="2947"/>
          </w:tcPr>
          <w:p>
            <w:pPr>
              <w:jc w:val="left"/>
            </w:pPr>
            <w:r>
              <w:rPr>
                <w:rFonts w:ascii="Times New Roman" w:hAnsi="Times New Roman" w:eastAsia="Times New Roman"/>
                <w:b w:val="0"/>
                <w:i w:val="0"/>
                <w:sz w:val="24"/>
              </w:rPr>
              <w:t>Performance</w:t>
            </w:r>
          </w:p>
        </w:tc>
        <w:tc>
          <w:tcPr>
            <w:tcW w:type="dxa" w:w="2947"/>
          </w:tcPr>
          <w:p>
            <w:pPr>
              <w:jc w:val="left"/>
            </w:pPr>
            <w:r>
              <w:rPr>
                <w:rFonts w:ascii="Times New Roman" w:hAnsi="Times New Roman" w:eastAsia="Times New Roman"/>
                <w:b w:val="0"/>
                <w:i w:val="0"/>
                <w:sz w:val="24"/>
              </w:rPr>
              <w:t>Productivity; growth and exports; resilience</w:t>
            </w:r>
          </w:p>
        </w:tc>
        <w:tc>
          <w:tcPr>
            <w:tcW w:type="dxa" w:w="2947"/>
          </w:tcPr>
          <w:p>
            <w:pPr>
              <w:jc w:val="left"/>
            </w:pPr>
            <w:r>
              <w:rPr>
                <w:rFonts w:ascii="Times New Roman" w:hAnsi="Times New Roman" w:eastAsia="Times New Roman"/>
                <w:b w:val="0"/>
                <w:i w:val="0"/>
                <w:sz w:val="24"/>
              </w:rPr>
              <w:t>Monitoring and reinvestment of gains</w:t>
            </w:r>
          </w:p>
        </w:tc>
      </w:tr>
    </w:tbl>
    <w:p>
      <w:pPr>
        <w:spacing w:line="240" w:lineRule="auto" w:after="200" w:before="0"/>
        <w:jc w:val="left"/>
      </w:pPr>
      <w:r>
        <w:rPr>
          <w:rFonts w:ascii="Times New Roman" w:hAnsi="Times New Roman" w:eastAsia="Times New Roman"/>
          <w:b w:val="0"/>
          <w:i/>
          <w:sz w:val="22"/>
        </w:rPr>
        <w:t>Source: Authors’ elaboration based on Teece (2007), Tornatzky and Fleischer (1990) and OECD (2021).</w:t>
      </w:r>
    </w:p>
    <w:p>
      <w:pPr>
        <w:spacing w:line="360" w:lineRule="auto" w:before="200" w:after="120"/>
        <w:jc w:val="left"/>
      </w:pPr>
      <w:r>
        <w:rPr>
          <w:rFonts w:ascii="Times New Roman" w:hAnsi="Times New Roman" w:eastAsia="Times New Roman"/>
          <w:b/>
          <w:i w:val="0"/>
          <w:sz w:val="28"/>
        </w:rPr>
        <w:t>3. Evidence from the European Union and Bulgaria</w:t>
      </w:r>
    </w:p>
    <w:p>
      <w:pPr>
        <w:spacing w:line="360" w:lineRule="auto" w:after="120" w:before="0"/>
        <w:ind w:firstLine="432"/>
        <w:jc w:val="both"/>
      </w:pPr>
      <w:r>
        <w:rPr>
          <w:rFonts w:ascii="Times New Roman" w:hAnsi="Times New Roman" w:eastAsia="Times New Roman"/>
          <w:b w:val="0"/>
          <w:i w:val="0"/>
          <w:sz w:val="28"/>
        </w:rPr>
        <w:t>The framework can be illustrated with official European statistics, which measure the digital intensity of enterprises directly. Under the European Union’s Digital Decade policy programme, the agreed ambition is that more than ninety per cent of SMEs should reach at least a basic level of digital intensity by 2030. According to Eurostat (2024), in 2023 the SMEs of the European Union were some thirty-two percentage points below that ambition — that is, only around fifty-eight per cent reached at least a basic level of digital intensity. The gap is not in basic connectivity, which is almost universal, but in the more advanced technologies — cloud computing, data analytics and artificial intelligence — that correspond to the seizing and reconfiguring blocks of the framework and that are most strongly associated with performance gains (OECD, 2021).</w:t>
      </w:r>
    </w:p>
    <w:p>
      <w:pPr>
        <w:spacing w:line="360" w:lineRule="auto" w:after="120" w:before="0"/>
        <w:ind w:firstLine="432"/>
        <w:jc w:val="both"/>
      </w:pPr>
      <w:r>
        <w:rPr>
          <w:rFonts w:ascii="Times New Roman" w:hAnsi="Times New Roman" w:eastAsia="Times New Roman"/>
          <w:b w:val="0"/>
          <w:i w:val="0"/>
          <w:sz w:val="28"/>
        </w:rPr>
        <w:t>The aggregate gap conceals wide differences across member states, and these differences map onto the framework. For a lagging country such as Bulgaria, the European Commission (2025) reports that, despite well-developed connectivity infrastructure, the country is held back by low digital skills, SME digital uptake among the lowest in the Union, and limited adoption of cloud computing, artificial intelligence and data analytics. In the language of the framework, Bulgarian SMEs are not short of drivers or of basic connectivity; they are short of the capabilities — skills, finance and managerial capacity — that translate adoption into the deeper transformation that raises performance. Table 2 summarises the European picture.</w:t>
      </w:r>
    </w:p>
    <w:p>
      <w:pPr>
        <w:spacing w:line="240" w:lineRule="auto" w:after="40" w:before="0"/>
        <w:jc w:val="left"/>
      </w:pPr>
      <w:r>
        <w:rPr>
          <w:rFonts w:ascii="Times New Roman" w:hAnsi="Times New Roman" w:eastAsia="Times New Roman"/>
          <w:b/>
          <w:i w:val="0"/>
          <w:sz w:val="28"/>
        </w:rPr>
        <w:t>Table 2</w:t>
      </w:r>
    </w:p>
    <w:p>
      <w:pPr>
        <w:spacing w:line="240" w:lineRule="auto" w:after="80" w:before="0"/>
        <w:jc w:val="left"/>
      </w:pPr>
      <w:r>
        <w:rPr>
          <w:rFonts w:ascii="Times New Roman" w:hAnsi="Times New Roman" w:eastAsia="Times New Roman"/>
          <w:b/>
          <w:i w:val="0"/>
          <w:sz w:val="24"/>
        </w:rPr>
        <w:t>Digital intensity of SMEs in the European Union: ambition and reality</w:t>
      </w:r>
    </w:p>
    <w:tbl>
      <w:tblPr>
        <w:tblStyle w:val="TableGrid"/>
        <w:tblW w:type="auto" w:w="0"/>
        <w:jc w:val="center"/>
        <w:tblLook w:firstColumn="1" w:firstRow="1" w:lastColumn="0" w:lastRow="0" w:noHBand="0" w:noVBand="1" w:val="04A0"/>
      </w:tblPr>
      <w:tblGrid>
        <w:gridCol w:w="4421"/>
        <w:gridCol w:w="4421"/>
      </w:tblGrid>
      <w:tr>
        <w:tc>
          <w:tcPr>
            <w:tcW w:type="dxa" w:w="4421"/>
          </w:tcPr>
          <w:p>
            <w:pPr>
              <w:jc w:val="center"/>
            </w:pPr>
            <w:r>
              <w:rPr>
                <w:rFonts w:ascii="Times New Roman" w:hAnsi="Times New Roman" w:eastAsia="Times New Roman"/>
                <w:b/>
                <w:i w:val="0"/>
                <w:sz w:val="24"/>
              </w:rPr>
              <w:t>Indicator</w:t>
            </w:r>
          </w:p>
        </w:tc>
        <w:tc>
          <w:tcPr>
            <w:tcW w:type="dxa" w:w="4421"/>
          </w:tcPr>
          <w:p>
            <w:pPr>
              <w:jc w:val="center"/>
            </w:pPr>
            <w:r>
              <w:rPr>
                <w:rFonts w:ascii="Times New Roman" w:hAnsi="Times New Roman" w:eastAsia="Times New Roman"/>
                <w:b/>
                <w:i w:val="0"/>
                <w:sz w:val="24"/>
              </w:rPr>
              <w:t>Value / observation</w:t>
            </w:r>
          </w:p>
        </w:tc>
      </w:tr>
      <w:tr>
        <w:tc>
          <w:tcPr>
            <w:tcW w:type="dxa" w:w="4421"/>
          </w:tcPr>
          <w:p>
            <w:pPr>
              <w:jc w:val="left"/>
            </w:pPr>
            <w:r>
              <w:rPr>
                <w:rFonts w:ascii="Times New Roman" w:hAnsi="Times New Roman" w:eastAsia="Times New Roman"/>
                <w:b w:val="0"/>
                <w:i w:val="0"/>
                <w:sz w:val="24"/>
              </w:rPr>
              <w:t>Digital Decade 2030 target (SMEs, basic digital intensity)</w:t>
            </w:r>
          </w:p>
        </w:tc>
        <w:tc>
          <w:tcPr>
            <w:tcW w:type="dxa" w:w="4421"/>
          </w:tcPr>
          <w:p>
            <w:pPr>
              <w:jc w:val="left"/>
            </w:pPr>
            <w:r>
              <w:rPr>
                <w:rFonts w:ascii="Times New Roman" w:hAnsi="Times New Roman" w:eastAsia="Times New Roman"/>
                <w:b w:val="0"/>
                <w:i w:val="0"/>
                <w:sz w:val="24"/>
              </w:rPr>
              <w:t>at least 90%</w:t>
            </w:r>
          </w:p>
        </w:tc>
      </w:tr>
      <w:tr>
        <w:tc>
          <w:tcPr>
            <w:tcW w:type="dxa" w:w="4421"/>
          </w:tcPr>
          <w:p>
            <w:pPr>
              <w:jc w:val="left"/>
            </w:pPr>
            <w:r>
              <w:rPr>
                <w:rFonts w:ascii="Times New Roman" w:hAnsi="Times New Roman" w:eastAsia="Times New Roman"/>
                <w:b w:val="0"/>
                <w:i w:val="0"/>
                <w:sz w:val="24"/>
              </w:rPr>
              <w:t>EU SMEs reaching basic digital intensity, 2023</w:t>
            </w:r>
          </w:p>
        </w:tc>
        <w:tc>
          <w:tcPr>
            <w:tcW w:type="dxa" w:w="4421"/>
          </w:tcPr>
          <w:p>
            <w:pPr>
              <w:jc w:val="left"/>
            </w:pPr>
            <w:r>
              <w:rPr>
                <w:rFonts w:ascii="Times New Roman" w:hAnsi="Times New Roman" w:eastAsia="Times New Roman"/>
                <w:b w:val="0"/>
                <w:i w:val="0"/>
                <w:sz w:val="24"/>
              </w:rPr>
              <w:t>approx. 58% (32 pp below target)</w:t>
            </w:r>
          </w:p>
        </w:tc>
      </w:tr>
      <w:tr>
        <w:tc>
          <w:tcPr>
            <w:tcW w:type="dxa" w:w="4421"/>
          </w:tcPr>
          <w:p>
            <w:pPr>
              <w:jc w:val="left"/>
            </w:pPr>
            <w:r>
              <w:rPr>
                <w:rFonts w:ascii="Times New Roman" w:hAnsi="Times New Roman" w:eastAsia="Times New Roman"/>
                <w:b w:val="0"/>
                <w:i w:val="0"/>
                <w:sz w:val="24"/>
              </w:rPr>
              <w:t>Main shortfall</w:t>
            </w:r>
          </w:p>
        </w:tc>
        <w:tc>
          <w:tcPr>
            <w:tcW w:type="dxa" w:w="4421"/>
          </w:tcPr>
          <w:p>
            <w:pPr>
              <w:jc w:val="left"/>
            </w:pPr>
            <w:r>
              <w:rPr>
                <w:rFonts w:ascii="Times New Roman" w:hAnsi="Times New Roman" w:eastAsia="Times New Roman"/>
                <w:b w:val="0"/>
                <w:i w:val="0"/>
                <w:sz w:val="24"/>
              </w:rPr>
              <w:t>Cloud, data analytics and AI (advanced technologies)</w:t>
            </w:r>
          </w:p>
        </w:tc>
      </w:tr>
      <w:tr>
        <w:tc>
          <w:tcPr>
            <w:tcW w:type="dxa" w:w="4421"/>
          </w:tcPr>
          <w:p>
            <w:pPr>
              <w:jc w:val="left"/>
            </w:pPr>
            <w:r>
              <w:rPr>
                <w:rFonts w:ascii="Times New Roman" w:hAnsi="Times New Roman" w:eastAsia="Times New Roman"/>
                <w:b w:val="0"/>
                <w:i w:val="0"/>
                <w:sz w:val="24"/>
              </w:rPr>
              <w:t>Bulgaria – connectivity</w:t>
            </w:r>
          </w:p>
        </w:tc>
        <w:tc>
          <w:tcPr>
            <w:tcW w:type="dxa" w:w="4421"/>
          </w:tcPr>
          <w:p>
            <w:pPr>
              <w:jc w:val="left"/>
            </w:pPr>
            <w:r>
              <w:rPr>
                <w:rFonts w:ascii="Times New Roman" w:hAnsi="Times New Roman" w:eastAsia="Times New Roman"/>
                <w:b w:val="0"/>
                <w:i w:val="0"/>
                <w:sz w:val="24"/>
              </w:rPr>
              <w:t>Well-developed infrastructure</w:t>
            </w:r>
          </w:p>
        </w:tc>
      </w:tr>
      <w:tr>
        <w:tc>
          <w:tcPr>
            <w:tcW w:type="dxa" w:w="4421"/>
          </w:tcPr>
          <w:p>
            <w:pPr>
              <w:jc w:val="left"/>
            </w:pPr>
            <w:r>
              <w:rPr>
                <w:rFonts w:ascii="Times New Roman" w:hAnsi="Times New Roman" w:eastAsia="Times New Roman"/>
                <w:b w:val="0"/>
                <w:i w:val="0"/>
                <w:sz w:val="24"/>
              </w:rPr>
              <w:t>Bulgaria – SME digital uptake</w:t>
            </w:r>
          </w:p>
        </w:tc>
        <w:tc>
          <w:tcPr>
            <w:tcW w:type="dxa" w:w="4421"/>
          </w:tcPr>
          <w:p>
            <w:pPr>
              <w:jc w:val="left"/>
            </w:pPr>
            <w:r>
              <w:rPr>
                <w:rFonts w:ascii="Times New Roman" w:hAnsi="Times New Roman" w:eastAsia="Times New Roman"/>
                <w:b w:val="0"/>
                <w:i w:val="0"/>
                <w:sz w:val="24"/>
              </w:rPr>
              <w:t>Among the lowest in the EU</w:t>
            </w:r>
          </w:p>
        </w:tc>
      </w:tr>
      <w:tr>
        <w:tc>
          <w:tcPr>
            <w:tcW w:type="dxa" w:w="4421"/>
          </w:tcPr>
          <w:p>
            <w:pPr>
              <w:jc w:val="left"/>
            </w:pPr>
            <w:r>
              <w:rPr>
                <w:rFonts w:ascii="Times New Roman" w:hAnsi="Times New Roman" w:eastAsia="Times New Roman"/>
                <w:b w:val="0"/>
                <w:i w:val="0"/>
                <w:sz w:val="24"/>
              </w:rPr>
              <w:t>Bulgaria – binding constraints</w:t>
            </w:r>
          </w:p>
        </w:tc>
        <w:tc>
          <w:tcPr>
            <w:tcW w:type="dxa" w:w="4421"/>
          </w:tcPr>
          <w:p>
            <w:pPr>
              <w:jc w:val="left"/>
            </w:pPr>
            <w:r>
              <w:rPr>
                <w:rFonts w:ascii="Times New Roman" w:hAnsi="Times New Roman" w:eastAsia="Times New Roman"/>
                <w:b w:val="0"/>
                <w:i w:val="0"/>
                <w:sz w:val="24"/>
              </w:rPr>
              <w:t>Digital skills; cloud/AI/analytics adoption; cybersecurity</w:t>
            </w:r>
          </w:p>
        </w:tc>
      </w:tr>
    </w:tbl>
    <w:p>
      <w:pPr>
        <w:spacing w:line="240" w:lineRule="auto" w:after="200" w:before="0"/>
        <w:jc w:val="left"/>
      </w:pPr>
      <w:r>
        <w:rPr>
          <w:rFonts w:ascii="Times New Roman" w:hAnsi="Times New Roman" w:eastAsia="Times New Roman"/>
          <w:b w:val="0"/>
          <w:i/>
          <w:sz w:val="22"/>
        </w:rPr>
        <w:t>Source: Compiled by the authors from Eurostat (2024), European Commission (2025) and OECD (2021).</w:t>
      </w:r>
    </w:p>
    <w:p>
      <w:pPr>
        <w:spacing w:line="360" w:lineRule="auto" w:after="120" w:before="0"/>
        <w:ind w:firstLine="432"/>
        <w:jc w:val="both"/>
      </w:pPr>
      <w:r>
        <w:rPr>
          <w:rFonts w:ascii="Times New Roman" w:hAnsi="Times New Roman" w:eastAsia="Times New Roman"/>
          <w:b w:val="0"/>
          <w:i w:val="0"/>
          <w:sz w:val="28"/>
        </w:rPr>
        <w:t>The evidence is consistent with the framework in two respects. First, the binding constraint on performance is the capability term C in equation (2) rather than the mere availability of technology: connectivity is near-universal, but advanced adoption and the skills to use it are not. Second, the feedback loop helps explain the persistence of the gap between leading and lagging member states: firms and countries that transform early reinvest the resulting gains in further capability, while those that do not risk being locked into a low-intensity equilibrium. This is the central management and policy challenge that the next section addresses.</w:t>
      </w:r>
    </w:p>
    <w:p>
      <w:pPr>
        <w:spacing w:line="360" w:lineRule="auto" w:before="200" w:after="120"/>
        <w:jc w:val="left"/>
      </w:pPr>
      <w:r>
        <w:rPr>
          <w:rFonts w:ascii="Times New Roman" w:hAnsi="Times New Roman" w:eastAsia="Times New Roman"/>
          <w:b/>
          <w:i w:val="0"/>
          <w:sz w:val="28"/>
        </w:rPr>
        <w:t>4. Management and policy implications</w:t>
      </w:r>
    </w:p>
    <w:p>
      <w:pPr>
        <w:spacing w:line="360" w:lineRule="auto" w:after="120" w:before="0"/>
        <w:ind w:firstLine="432"/>
        <w:jc w:val="both"/>
      </w:pPr>
      <w:r>
        <w:rPr>
          <w:rFonts w:ascii="Times New Roman" w:hAnsi="Times New Roman" w:eastAsia="Times New Roman"/>
          <w:b w:val="0"/>
          <w:i w:val="0"/>
          <w:sz w:val="28"/>
        </w:rPr>
        <w:t>For the management of the individual SME, the framework implies that investment should be sequenced according to capability rather than technology fashion. Because performance depends on the product of digital-transformation intensity and capability (equation 2), an SME with weak capabilities gains more from building sensing and absorptive capacity — digital skills, data literacy and a clear digital element of strategy — than from acquiring advanced tools it cannot embed. Adoption should follow the sequence of the framework: secure connectivity and a market-facing digital channel, move core processes to cloud-based and enterprise software, and only then layer on analytics and artificial intelligence, with cybersecurity and data governance treated as a precondition rather than an afterthought (OECD, 2021; Westerman et al., 2014). Crucially, digital strategy should be fused with business strategy and owned by the management team, not delegated as a technical project (Bharadwaj et al., 2013).</w:t>
      </w:r>
    </w:p>
    <w:p>
      <w:pPr>
        <w:spacing w:line="360" w:lineRule="auto" w:after="120" w:before="0"/>
        <w:ind w:firstLine="432"/>
        <w:jc w:val="both"/>
      </w:pPr>
      <w:r>
        <w:rPr>
          <w:rFonts w:ascii="Times New Roman" w:hAnsi="Times New Roman" w:eastAsia="Times New Roman"/>
          <w:b w:val="0"/>
          <w:i w:val="0"/>
          <w:sz w:val="28"/>
        </w:rPr>
        <w:t>For policy, the same logic reframes public support. Because the binding constraint is capability rather than connectivity, support should shift from subsidising hardware towards building skills and absorptive capacity: management and digital-skills training, advisory and diagnostic services, and demonstrator projects that reduce the uncertainty about returns that deters SME investment. Instruments should be designed for the smallest firms, whose fixed costs of adoption are proportionally highest, and should bundle finance with advice rather than offer them separately (OECD, 2021). For lagging member states such as Bulgaria, the European Commission’s (2025) diagnosis points to a clear set of priorities — digital skills, the uptake of cloud, analytics and artificial intelligence by SMEs, and cybersecurity — on which the substantial European recovery and cohesion funding earmarked for the digital transition can be concentrated.</w:t>
      </w:r>
    </w:p>
    <w:p>
      <w:pPr>
        <w:spacing w:line="360" w:lineRule="auto" w:after="120" w:before="0"/>
        <w:ind w:firstLine="432"/>
        <w:jc w:val="both"/>
      </w:pPr>
      <w:r>
        <w:rPr>
          <w:rFonts w:ascii="Times New Roman" w:hAnsi="Times New Roman" w:eastAsia="Times New Roman"/>
          <w:b w:val="0"/>
          <w:i w:val="0"/>
          <w:sz w:val="28"/>
        </w:rPr>
        <w:t>The two levels are complementary. Public investment in skills and advice raises the average capability level C across the SME population, which increases the performance return to any given level of technology adoption and so strengthens the incentive for firms to invest. Firm-level reinvestment of the resulting gains then sustains the virtuous cycle. Where this complementarity is neglected — where grants fund technology without capability — the predictable outcome is adoption without transformation, and the gap with digital leaders persists.</w:t>
      </w:r>
    </w:p>
    <w:p>
      <w:pPr>
        <w:spacing w:line="360" w:lineRule="auto" w:before="200" w:after="120"/>
        <w:jc w:val="left"/>
      </w:pPr>
      <w:r>
        <w:rPr>
          <w:rFonts w:ascii="Times New Roman" w:hAnsi="Times New Roman" w:eastAsia="Times New Roman"/>
          <w:b/>
          <w:i w:val="0"/>
          <w:sz w:val="28"/>
        </w:rPr>
        <w:t>Conclusions</w:t>
      </w:r>
    </w:p>
    <w:p>
      <w:pPr>
        <w:spacing w:line="360" w:lineRule="auto" w:after="120" w:before="0"/>
        <w:ind w:firstLine="432"/>
        <w:jc w:val="both"/>
      </w:pPr>
      <w:r>
        <w:rPr>
          <w:rFonts w:ascii="Times New Roman" w:hAnsi="Times New Roman" w:eastAsia="Times New Roman"/>
          <w:b w:val="0"/>
          <w:i w:val="0"/>
          <w:sz w:val="28"/>
        </w:rPr>
        <w:t>Digital transformation is the dominant management challenge facing contemporary enterprises, and it is most demanding for the small and medium-sized firms that form the backbone of the European economy. This article has argued that the decisive factor is not access to technology but the managerial capability to absorb it. Integrating the process view of digital transformation with the dynamic-capabilities perspective, it proposed a management framework that links external drivers, the firm’s sensing, seizing and reconfiguring capabilities, the depth of the transformation undertaken and the resulting performance, closed by a reinvestment feedback loop, and it made the central construct measurable through a digital-transformation intensity index.</w:t>
      </w:r>
    </w:p>
    <w:p>
      <w:pPr>
        <w:spacing w:line="360" w:lineRule="auto" w:after="120" w:before="0"/>
        <w:ind w:firstLine="432"/>
        <w:jc w:val="both"/>
      </w:pPr>
      <w:r>
        <w:rPr>
          <w:rFonts w:ascii="Times New Roman" w:hAnsi="Times New Roman" w:eastAsia="Times New Roman"/>
          <w:b w:val="0"/>
          <w:i w:val="0"/>
          <w:sz w:val="28"/>
        </w:rPr>
        <w:t>Confronted with official European evidence, the framework accounts for the persistent gap between the Digital Decade ambition and the actual digital intensity of SMEs, and for the especially wide gap in lagging member states such as Bulgaria, where connectivity is adequate but capability is not. The practical message for managers is to sequence investment by capability and to own digital strategy at the top of the firm; the message for policymakers is to fund skills and absorptive capacity, not hardware alone. The framework is conceptual and its index and performance relationship are proposed rather than estimated; the natural next step is empirical validation on firm-level data, including Bulgarian SME samples, which would allow the return to transformation and the capability threshold to be quantified and the policy priorities to be sharpened.</w:t>
      </w:r>
    </w:p>
    <w:p>
      <w:pPr>
        <w:spacing w:line="360" w:lineRule="auto" w:before="200" w:after="120"/>
        <w:jc w:val="left"/>
      </w:pPr>
      <w:r>
        <w:rPr>
          <w:rFonts w:ascii="Times New Roman" w:hAnsi="Times New Roman" w:eastAsia="Times New Roman"/>
          <w:b/>
          <w:i w:val="0"/>
          <w:sz w:val="28"/>
        </w:rPr>
        <w:t>References</w:t>
      </w:r>
    </w:p>
    <w:p>
      <w:pPr>
        <w:spacing w:line="360" w:lineRule="auto" w:after="80"/>
        <w:ind w:left="720" w:hanging="720"/>
        <w:jc w:val="both"/>
      </w:pPr>
      <w:r>
        <w:rPr>
          <w:rFonts w:ascii="Times New Roman" w:hAnsi="Times New Roman" w:eastAsia="Times New Roman"/>
          <w:b w:val="0"/>
          <w:i w:val="0"/>
          <w:sz w:val="28"/>
        </w:rPr>
        <w:t>Bharadwaj, A., El Sawy, O. A., Pavlou, P. A., &amp; Venkatraman, N. (2013). Digital business strategy: Toward a next generation of insights. MIS Quarterly, 37(2), 471–482. https://doi.org/10.25300/MISQ/2013/37:2.3</w:t>
      </w:r>
    </w:p>
    <w:p>
      <w:pPr>
        <w:spacing w:line="360" w:lineRule="auto" w:after="80"/>
        <w:ind w:left="720" w:hanging="720"/>
        <w:jc w:val="both"/>
      </w:pPr>
      <w:r>
        <w:rPr>
          <w:rFonts w:ascii="Times New Roman" w:hAnsi="Times New Roman" w:eastAsia="Times New Roman"/>
          <w:b w:val="0"/>
          <w:i w:val="0"/>
          <w:sz w:val="28"/>
        </w:rPr>
        <w:t>Davis, F. D. (1989). Perceived usefulness, perceived ease of use, and user acceptance of information technology. MIS Quarterly, 13(3), 319–340. https://doi.org/10.2307/249008</w:t>
      </w:r>
    </w:p>
    <w:p>
      <w:pPr>
        <w:spacing w:line="360" w:lineRule="auto" w:after="80"/>
        <w:ind w:left="720" w:hanging="720"/>
        <w:jc w:val="both"/>
      </w:pPr>
      <w:r>
        <w:rPr>
          <w:rFonts w:ascii="Times New Roman" w:hAnsi="Times New Roman" w:eastAsia="Times New Roman"/>
          <w:b w:val="0"/>
          <w:i w:val="0"/>
          <w:sz w:val="28"/>
        </w:rPr>
        <w:t>European Commission. (2025). Bulgaria 2025 Digital Decade country report. Brussels: European Commission. Available online: https://digital-strategy.ec.europa.eu/en/factpages/bulgaria-2025-digital-decade-country-report</w:t>
      </w:r>
    </w:p>
    <w:p>
      <w:pPr>
        <w:spacing w:line="360" w:lineRule="auto" w:after="80"/>
        <w:ind w:left="720" w:hanging="720"/>
        <w:jc w:val="both"/>
      </w:pPr>
      <w:r>
        <w:rPr>
          <w:rFonts w:ascii="Times New Roman" w:hAnsi="Times New Roman" w:eastAsia="Times New Roman"/>
          <w:b w:val="0"/>
          <w:i w:val="0"/>
          <w:sz w:val="28"/>
        </w:rPr>
        <w:t>Eurostat. (2024). How digitalised have the EU’s enterprises become? (Eurostat news article, 29 August 2024). Luxembourg: Eurostat. Available online: https://ec.europa.eu/eurostat/web/products-eurostat-news/w/ddn-20240829-1</w:t>
      </w:r>
    </w:p>
    <w:p>
      <w:pPr>
        <w:spacing w:line="360" w:lineRule="auto" w:after="80"/>
        <w:ind w:left="720" w:hanging="720"/>
        <w:jc w:val="both"/>
      </w:pPr>
      <w:r>
        <w:rPr>
          <w:rFonts w:ascii="Times New Roman" w:hAnsi="Times New Roman" w:eastAsia="Times New Roman"/>
          <w:b w:val="0"/>
          <w:i w:val="0"/>
          <w:sz w:val="28"/>
        </w:rPr>
        <w:t>Fitzgerald, M., Kruschwitz, N., Bonnet, D., &amp; Welch, M. (2014). Embracing digital technology: A new strategic imperative. MIT Sloan Management Review, 55(2), 1–12.</w:t>
      </w:r>
    </w:p>
    <w:p>
      <w:pPr>
        <w:spacing w:line="360" w:lineRule="auto" w:after="80"/>
        <w:ind w:left="720" w:hanging="720"/>
        <w:jc w:val="both"/>
      </w:pPr>
      <w:r>
        <w:rPr>
          <w:rFonts w:ascii="Times New Roman" w:hAnsi="Times New Roman" w:eastAsia="Times New Roman"/>
          <w:b w:val="0"/>
          <w:i w:val="0"/>
          <w:sz w:val="28"/>
        </w:rPr>
        <w:t>Nambisan, S., Wright, M., &amp; Feldman, M. (2019). The digital transformation of innovation and entrepreneurship: Progress, challenges and key themes. Research Policy, 48(8), 103773. https://doi.org/10.1016/j.respol.2019.03.018</w:t>
      </w:r>
    </w:p>
    <w:p>
      <w:pPr>
        <w:spacing w:line="360" w:lineRule="auto" w:after="80"/>
        <w:ind w:left="720" w:hanging="720"/>
        <w:jc w:val="both"/>
      </w:pPr>
      <w:r>
        <w:rPr>
          <w:rFonts w:ascii="Times New Roman" w:hAnsi="Times New Roman" w:eastAsia="Times New Roman"/>
          <w:b w:val="0"/>
          <w:i w:val="0"/>
          <w:sz w:val="28"/>
        </w:rPr>
        <w:t>OECD. (2021). The digital transformation of SMEs. Paris: OECD Publishing. https://doi.org/10.1787/bdb9256a-en</w:t>
      </w:r>
    </w:p>
    <w:p>
      <w:pPr>
        <w:spacing w:line="360" w:lineRule="auto" w:after="80"/>
        <w:ind w:left="720" w:hanging="720"/>
        <w:jc w:val="both"/>
      </w:pPr>
      <w:r>
        <w:rPr>
          <w:rFonts w:ascii="Times New Roman" w:hAnsi="Times New Roman" w:eastAsia="Times New Roman"/>
          <w:b w:val="0"/>
          <w:i w:val="0"/>
          <w:sz w:val="28"/>
        </w:rPr>
        <w:t>Teece, D. J. (2007). Explicating dynamic capabilities: The nature and microfoundations of (sustainable) enterprise performance. Strategic Management Journal, 28(13), 1319–1350. https://doi.org/10.1002/smj.640</w:t>
      </w:r>
    </w:p>
    <w:p>
      <w:pPr>
        <w:spacing w:line="360" w:lineRule="auto" w:after="80"/>
        <w:ind w:left="720" w:hanging="720"/>
        <w:jc w:val="both"/>
      </w:pPr>
      <w:r>
        <w:rPr>
          <w:rFonts w:ascii="Times New Roman" w:hAnsi="Times New Roman" w:eastAsia="Times New Roman"/>
          <w:b w:val="0"/>
          <w:i w:val="0"/>
          <w:sz w:val="28"/>
        </w:rPr>
        <w:t>Tornatzky, L. G., &amp; Fleischer, M. (1990). The processes of technological innovation. Lexington, MA: Lexington Books.</w:t>
      </w:r>
    </w:p>
    <w:p>
      <w:pPr>
        <w:spacing w:line="360" w:lineRule="auto" w:after="80"/>
        <w:ind w:left="720" w:hanging="720"/>
        <w:jc w:val="both"/>
      </w:pPr>
      <w:r>
        <w:rPr>
          <w:rFonts w:ascii="Times New Roman" w:hAnsi="Times New Roman" w:eastAsia="Times New Roman"/>
          <w:b w:val="0"/>
          <w:i w:val="0"/>
          <w:sz w:val="28"/>
        </w:rPr>
        <w:t>Venkatesh, V., Morris, M. G., Davis, G. B., &amp; Davis, F. D. (2003). User acceptance of information technology: Toward a unified view. MIS Quarterly, 27(3), 425–478. https://doi.org/10.2307/30036540</w:t>
      </w:r>
    </w:p>
    <w:p>
      <w:pPr>
        <w:spacing w:line="360" w:lineRule="auto" w:after="80"/>
        <w:ind w:left="720" w:hanging="720"/>
        <w:jc w:val="both"/>
      </w:pPr>
      <w:r>
        <w:rPr>
          <w:rFonts w:ascii="Times New Roman" w:hAnsi="Times New Roman" w:eastAsia="Times New Roman"/>
          <w:b w:val="0"/>
          <w:i w:val="0"/>
          <w:sz w:val="28"/>
        </w:rPr>
        <w:t>Verhoef, P. C., Broekhuizen, T., Bart, Y., Bhattacharya, A., Qi Dong, J., Fabian, N., &amp; Haenlein, M. (2021). Digital transformation: A multidisciplinary reflection and research agenda. Journal of Business Research, 122, 889–901. https://doi.org/10.1016/j.jbusres.2019.09.022</w:t>
      </w:r>
    </w:p>
    <w:p>
      <w:pPr>
        <w:spacing w:line="360" w:lineRule="auto" w:after="80"/>
        <w:ind w:left="720" w:hanging="720"/>
        <w:jc w:val="both"/>
      </w:pPr>
      <w:r>
        <w:rPr>
          <w:rFonts w:ascii="Times New Roman" w:hAnsi="Times New Roman" w:eastAsia="Times New Roman"/>
          <w:b w:val="0"/>
          <w:i w:val="0"/>
          <w:sz w:val="28"/>
        </w:rPr>
        <w:t>Vial, G. (2019). Understanding digital transformation: A review and a research agenda. The Journal of Strategic Information Systems, 28(2), 118–144. https://doi.org/10.1016/j.jsis.2019.01.003</w:t>
      </w:r>
    </w:p>
    <w:p>
      <w:pPr>
        <w:spacing w:line="360" w:lineRule="auto" w:after="80"/>
        <w:ind w:left="720" w:hanging="720"/>
        <w:jc w:val="both"/>
      </w:pPr>
      <w:r>
        <w:rPr>
          <w:rFonts w:ascii="Times New Roman" w:hAnsi="Times New Roman" w:eastAsia="Times New Roman"/>
          <w:b w:val="0"/>
          <w:i w:val="0"/>
          <w:sz w:val="28"/>
        </w:rPr>
        <w:t>Warner, K. S. R., &amp; Wäger, M. (2019). Building dynamic capabilities for digital transformation: An ongoing process of strategic renewal. Long Range Planning, 52(3), 326–349. https://doi.org/10.1016/j.lrp.2018.12.001</w:t>
      </w:r>
    </w:p>
    <w:p>
      <w:pPr>
        <w:spacing w:line="360" w:lineRule="auto" w:after="80"/>
        <w:ind w:left="720" w:hanging="720"/>
        <w:jc w:val="both"/>
      </w:pPr>
      <w:r>
        <w:rPr>
          <w:rFonts w:ascii="Times New Roman" w:hAnsi="Times New Roman" w:eastAsia="Times New Roman"/>
          <w:b w:val="0"/>
          <w:i w:val="0"/>
          <w:sz w:val="28"/>
        </w:rPr>
        <w:t>Westerman, G., Bonnet, D., &amp; McAfee, A. (2014). Leading digital: Turning technology into business transformation. Boston, MA: Harvard Business Review Press.</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