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30" w:before="0"/>
        <w:jc w:val="center"/>
      </w:pPr>
      <w:r>
        <w:rPr>
          <w:rFonts w:ascii="Arial" w:cs="Arial" w:eastAsia="Arial" w:hAnsi="Arial"/>
          <w:b/>
          <w:bCs/>
          <w:i w:val="false"/>
          <w:iCs w:val="false"/>
          <w:caps/>
          <w:color w:val="0C2340"/>
          <w:sz w:val="34"/>
          <w:szCs w:val="34"/>
        </w:rPr>
        <w:t xml:space="preserve">THE ADVANTAGE SERVICES</w:t>
      </w:r>
    </w:p>
    <w:p>
      <w:pPr>
        <w:spacing w:after="50" w:before="0"/>
        <w:jc w:val="center"/>
      </w:pPr>
      <w:r>
        <w:rPr>
          <w:rFonts w:ascii="Arial" w:cs="Arial" w:eastAsia="Arial" w:hAnsi="Arial"/>
          <w:b w:val="false"/>
          <w:bCs w:val="false"/>
          <w:i w:val="false"/>
          <w:iCs w:val="false"/>
          <w:caps w:val="false"/>
          <w:color w:val="B8870C"/>
          <w:sz w:val="17"/>
          <w:szCs w:val="17"/>
        </w:rPr>
        <w:t xml:space="preserve">━━━━━━━━━━━━━━━━━━━━━━━━━━━━━━━━━━━━━━</w:t>
      </w:r>
    </w:p>
    <w:p>
      <w:pPr>
        <w:shd w:fill="0C2340" w:val="clear"/>
        <w:spacing w:after="30" w:before="30"/>
        <w:jc w:val="center"/>
      </w:pPr>
      <w:r>
        <w:rPr>
          <w:rFonts w:ascii="Arial" w:cs="Arial" w:eastAsia="Arial" w:hAnsi="Arial"/>
          <w:b/>
          <w:bCs/>
          <w:i w:val="false"/>
          <w:iCs w:val="false"/>
          <w:caps w:val="false"/>
          <w:color w:val="FFFFFF"/>
          <w:sz w:val="26"/>
          <w:szCs w:val="26"/>
        </w:rPr>
        <w:t xml:space="preserve">  TICKET MIGRATION FRAMEWORK  —  BORDIO TO HUBSTAFF  </w:t>
      </w:r>
    </w:p>
    <w:p>
      <w:pPr>
        <w:spacing w:after="40" w:before="0"/>
      </w:pPr>
      <w:r>
        <w:t xml:space="preserve"/>
      </w:r>
    </w:p>
    <w:p>
      <w:pPr>
        <w:spacing w:after="40" w:before="0"/>
        <w:jc w:val="center"/>
      </w:pPr>
      <w:r>
        <w:rPr>
          <w:rFonts w:ascii="Arial" w:cs="Arial" w:eastAsia="Arial" w:hAnsi="Arial"/>
          <w:b w:val="false"/>
          <w:bCs w:val="false"/>
          <w:i/>
          <w:iCs/>
          <w:caps w:val="false"/>
          <w:color w:val="1A56A0"/>
          <w:sz w:val="18"/>
          <w:szCs w:val="18"/>
        </w:rPr>
        <w:t xml:space="preserve">2-Week Hybrid Migration Structure  |  Repetitive · One-Time · Temporary</w:t>
      </w:r>
    </w:p>
    <w:p>
      <w:pPr>
        <w:spacing w:after="80" w:before="0"/>
      </w:pPr>
      <w: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1900"/>
            <w:gridSpan w:val="1"/>
            <w:tcBorders>
              <w:top w:val="single" w:color="CBD5E1" w:sz="1"/>
              <w:left w:val="single" w:color="CBD5E1" w:sz="1"/>
              <w:bottom w:val="single" w:color="CBD5E1" w:sz="1"/>
              <w:right w:val="single" w:color="CBD5E1" w:sz="1"/>
            </w:tcBorders>
            <w:shd w:fill="1A56A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COMPANY</w:t>
            </w:r>
          </w:p>
        </w:tc>
        <w:tc>
          <w:tcPr>
            <w:tcW w:type="dxa" w:w="27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bCs/>
                <w:i w:val="false"/>
                <w:iCs w:val="false"/>
                <w:caps w:val="false"/>
                <w:color w:val="334155"/>
                <w:sz w:val="17"/>
                <w:szCs w:val="17"/>
              </w:rPr>
              <w:t xml:space="preserve">The Advantage Services</w:t>
            </w:r>
          </w:p>
        </w:tc>
        <w:tc>
          <w:tcPr>
            <w:tcW w:type="dxa" w:w="1900"/>
            <w:gridSpan w:val="1"/>
            <w:tcBorders>
              <w:top w:val="single" w:color="CBD5E1" w:sz="1"/>
              <w:left w:val="single" w:color="CBD5E1" w:sz="1"/>
              <w:bottom w:val="single" w:color="CBD5E1" w:sz="1"/>
              <w:right w:val="single" w:color="CBD5E1" w:sz="1"/>
            </w:tcBorders>
            <w:shd w:fill="1A56A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PROJECT MGR</w:t>
            </w:r>
          </w:p>
        </w:tc>
        <w:tc>
          <w:tcPr>
            <w:tcW w:type="dxa" w:w="27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bCs/>
                <w:i w:val="false"/>
                <w:iCs w:val="false"/>
                <w:caps w:val="false"/>
                <w:color w:val="334155"/>
                <w:sz w:val="17"/>
                <w:szCs w:val="17"/>
              </w:rPr>
              <w:t xml:space="preserve">Abdul Rafaay</w:t>
            </w:r>
          </w:p>
        </w:tc>
      </w:tr>
      <w:tr>
        <w:tc>
          <w:tcPr>
            <w:tcW w:type="dxa" w:w="190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SOURCE</w:t>
            </w:r>
          </w:p>
        </w:tc>
        <w:tc>
          <w:tcPr>
            <w:tcW w:type="dxa" w:w="27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7"/>
                <w:szCs w:val="17"/>
              </w:rPr>
              <w:t xml:space="preserve">Bordio</w:t>
            </w:r>
          </w:p>
        </w:tc>
        <w:tc>
          <w:tcPr>
            <w:tcW w:type="dxa" w:w="190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TARGET</w:t>
            </w:r>
          </w:p>
        </w:tc>
        <w:tc>
          <w:tcPr>
            <w:tcW w:type="dxa" w:w="27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7"/>
                <w:szCs w:val="17"/>
              </w:rPr>
              <w:t xml:space="preserve">Hubstaff</w:t>
            </w:r>
          </w:p>
        </w:tc>
      </w:tr>
      <w:tr>
        <w:tc>
          <w:tcPr>
            <w:tcW w:type="dxa" w:w="19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TIMELINE</w:t>
            </w:r>
          </w:p>
        </w:tc>
        <w:tc>
          <w:tcPr>
            <w:tcW w:type="dxa" w:w="27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bCs/>
                <w:i w:val="false"/>
                <w:iCs w:val="false"/>
                <w:caps w:val="false"/>
                <w:color w:val="334155"/>
                <w:sz w:val="17"/>
                <w:szCs w:val="17"/>
              </w:rPr>
              <w:t xml:space="preserve">2 Weeks  |  June 2026</w:t>
            </w:r>
          </w:p>
        </w:tc>
        <w:tc>
          <w:tcPr>
            <w:tcW w:type="dxa" w:w="19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REPORT TO</w:t>
            </w:r>
          </w:p>
        </w:tc>
        <w:tc>
          <w:tcPr>
            <w:tcW w:type="dxa" w:w="27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7"/>
                <w:szCs w:val="17"/>
              </w:rPr>
              <w:t xml:space="preserve">Hendrick Alves</w:t>
            </w:r>
          </w:p>
        </w:tc>
      </w:tr>
    </w:tbl>
    <w:p>
      <w:pPr>
        <w:spacing w:after="120" w:before="0"/>
      </w:pPr>
      <w:r>
        <w:t xml:space="preserve"/>
      </w:r>
    </w:p>
    <w:p>
      <w:pPr>
        <w:shd w:fill="0C2340" w:val="clear"/>
        <w:spacing w:after="60" w:before="200"/>
      </w:pPr>
      <w:r>
        <w:rPr>
          <w:rFonts w:ascii="Arial" w:cs="Arial" w:eastAsia="Arial" w:hAnsi="Arial"/>
          <w:b/>
          <w:bCs/>
          <w:i w:val="false"/>
          <w:iCs w:val="false"/>
          <w:caps w:val="false"/>
          <w:color w:val="FFFFFF"/>
          <w:sz w:val="20"/>
          <w:szCs w:val="20"/>
        </w:rPr>
        <w:t xml:space="preserve">  HOW THIS FRAMEWORK WORKS</w:t>
      </w:r>
    </w:p>
    <w:p>
      <w:pPr>
        <w:spacing w:after="60" w:before="0"/>
      </w:pPr>
      <w:r>
        <w:t xml:space="preserve"/>
      </w:r>
    </w:p>
    <w:p>
      <w:pPr>
        <w:spacing w:after="60" w:before="20"/>
        <w:jc w:val="left"/>
      </w:pPr>
      <w:r>
        <w:rPr>
          <w:rFonts w:ascii="Arial" w:cs="Arial" w:eastAsia="Arial" w:hAnsi="Arial"/>
          <w:b w:val="false"/>
          <w:bCs w:val="false"/>
          <w:i w:val="false"/>
          <w:iCs w:val="false"/>
          <w:caps w:val="false"/>
          <w:color w:val="334155"/>
          <w:sz w:val="17"/>
          <w:szCs w:val="17"/>
        </w:rPr>
        <w:t xml:space="preserve">This is a clean hybrid migration structure built for a 2-week window. It takes every ticket from Bordio and moves it into Hubstaff in an organised, trackable way. Tickets are grouped into three types first — then each type follows a simple 4-phase journey from Review all the way to Live. The same structure can be applied to any other platform or workflow migration in the future with minimal changes.</w:t>
      </w:r>
    </w:p>
    <w:p>
      <w:pPr>
        <w:spacing w:after="40" w:before="0"/>
      </w:pPr>
      <w:r>
        <w:t xml:space="preserve"/>
      </w:r>
    </w:p>
    <w:p>
      <w:pPr>
        <w:pBdr>
          <w:left w:val="single" w:color="B8870C" w:sz="16" w:space="8"/>
        </w:pBdr>
        <w:spacing w:after="50" w:before="140"/>
        <w:ind w:left="160"/>
      </w:pPr>
      <w:r>
        <w:rPr>
          <w:rFonts w:ascii="Arial" w:cs="Arial" w:eastAsia="Arial" w:hAnsi="Arial"/>
          <w:b/>
          <w:bCs/>
          <w:i w:val="false"/>
          <w:iCs w:val="false"/>
          <w:caps w:val="false"/>
          <w:color w:val="0C2340"/>
          <w:sz w:val="19"/>
          <w:szCs w:val="19"/>
        </w:rPr>
        <w:t xml:space="preserve">The 4-Phase Migration Journey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 1</w:t>
            </w:r>
          </w:p>
        </w:tc>
        <w:tc>
          <w:tcPr>
            <w:tcW w:type="dxa" w:w="2340"/>
            <w:gridSpan w:val="1"/>
            <w:tcBorders>
              <w:top w:val="single" w:color="CBD5E1" w:sz="1"/>
              <w:left w:val="single" w:color="CBD5E1" w:sz="1"/>
              <w:bottom w:val="single" w:color="CBD5E1" w:sz="1"/>
              <w:right w:val="single" w:color="CBD5E1" w:sz="1"/>
            </w:tcBorders>
            <w:shd w:fill="1A56A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 2</w:t>
            </w:r>
          </w:p>
        </w:tc>
        <w:tc>
          <w:tcPr>
            <w:tcW w:type="dxa" w:w="234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 3</w:t>
            </w:r>
          </w:p>
        </w:tc>
        <w:tc>
          <w:tcPr>
            <w:tcW w:type="dxa" w:w="2340"/>
            <w:gridSpan w:val="1"/>
            <w:tcBorders>
              <w:top w:val="single" w:color="CBD5E1" w:sz="1"/>
              <w:left w:val="single" w:color="CBD5E1" w:sz="1"/>
              <w:bottom w:val="single" w:color="CBD5E1" w:sz="1"/>
              <w:right w:val="single" w:color="CBD5E1" w:sz="1"/>
            </w:tcBorders>
            <w:shd w:fill="166534"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 4</w:t>
            </w:r>
          </w:p>
        </w:tc>
      </w:tr>
      <w:tr>
        <w:tc>
          <w:tcPr>
            <w:tcW w:type="dxa" w:w="23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REVIEW
Days 1–3</w:t>
            </w:r>
          </w:p>
        </w:tc>
        <w:tc>
          <w:tcPr>
            <w:tcW w:type="dxa" w:w="23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A56A0"/>
                <w:sz w:val="17"/>
                <w:szCs w:val="17"/>
              </w:rPr>
              <w:t xml:space="preserve">MOVE
Days 4–8</w:t>
            </w:r>
          </w:p>
        </w:tc>
        <w:tc>
          <w:tcPr>
            <w:tcW w:type="dxa" w:w="23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0A7C6E"/>
                <w:sz w:val="17"/>
                <w:szCs w:val="17"/>
              </w:rPr>
              <w:t xml:space="preserve">CHECK
Days 9–11</w:t>
            </w:r>
          </w:p>
        </w:tc>
        <w:tc>
          <w:tcPr>
            <w:tcW w:type="dxa" w:w="23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66534"/>
                <w:sz w:val="17"/>
                <w:szCs w:val="17"/>
              </w:rPr>
              <w:t xml:space="preserve">CLOSE
Days 12–14</w:t>
            </w:r>
          </w:p>
        </w:tc>
      </w:tr>
      <w:tr>
        <w:tc>
          <w:tcPr>
            <w:tcW w:type="dxa" w:w="23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Audit all Bordio tickets. Categorise every ticket by type. Build Hubstaff workspace.</w:t>
            </w:r>
          </w:p>
        </w:tc>
        <w:tc>
          <w:tcPr>
            <w:tcW w:type="dxa" w:w="23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Migrate tickets in priority order. Recreate in Hubstaff. Assign to right people.</w:t>
            </w:r>
          </w:p>
        </w:tc>
        <w:tc>
          <w:tcPr>
            <w:tcW w:type="dxa" w:w="23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Verify every ticket moved correctly. Get developer confirmations. Fix any errors.</w:t>
            </w:r>
          </w:p>
        </w:tc>
        <w:tc>
          <w:tcPr>
            <w:tcW w:type="dxa" w:w="23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Freeze Bordio. Hubstaff goes live as the only active system. Final report submitted.</w:t>
            </w:r>
          </w:p>
        </w:tc>
      </w:tr>
    </w:tbl>
    <w:p>
      <w:pPr>
        <w:spacing w:after="120" w:before="0"/>
      </w:pPr>
      <w:r>
        <w:t xml:space="preserve"/>
      </w:r>
    </w:p>
    <w:p>
      <w:pPr>
        <w:shd w:fill="1A56A0" w:val="clear"/>
        <w:spacing w:after="60" w:before="200"/>
      </w:pPr>
      <w:r>
        <w:rPr>
          <w:rFonts w:ascii="Arial" w:cs="Arial" w:eastAsia="Arial" w:hAnsi="Arial"/>
          <w:b/>
          <w:bCs/>
          <w:i w:val="false"/>
          <w:iCs w:val="false"/>
          <w:caps w:val="false"/>
          <w:color w:val="FFFFFF"/>
          <w:sz w:val="20"/>
          <w:szCs w:val="20"/>
        </w:rPr>
        <w:t xml:space="preserve">  THREE TICKET TYPES — BORDIO TO HUBSTAFF</w:t>
      </w:r>
    </w:p>
    <w:p>
      <w:pPr>
        <w:spacing w:after="60" w:before="0"/>
      </w:pPr>
      <w:r>
        <w:t xml:space="preserve"/>
      </w:r>
    </w:p>
    <w:p>
      <w:pPr>
        <w:spacing w:after="60" w:before="20"/>
        <w:jc w:val="left"/>
      </w:pPr>
      <w:r>
        <w:rPr>
          <w:rFonts w:ascii="Arial" w:cs="Arial" w:eastAsia="Arial" w:hAnsi="Arial"/>
          <w:b w:val="false"/>
          <w:bCs w:val="false"/>
          <w:i w:val="false"/>
          <w:iCs w:val="false"/>
          <w:caps w:val="false"/>
          <w:color w:val="334155"/>
          <w:sz w:val="17"/>
          <w:szCs w:val="17"/>
        </w:rPr>
        <w:t xml:space="preserve">Every ticket in Bordio belongs to one of these three types. The type determines how it is migrated, how it is set up in Hubstaff, and what happens to it after migration.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60"/>
        <w:gridCol w:w="2260"/>
        <w:gridCol w:w="1620"/>
        <w:gridCol w:w="1620"/>
      </w:tblGrid>
      <w:tr>
        <w:tc>
          <w:tcPr>
            <w:tcW w:type="dxa" w:w="16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TICKET TYPE</w:t>
            </w:r>
          </w:p>
        </w:tc>
        <w:tc>
          <w:tcPr>
            <w:tcW w:type="dxa" w:w="226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WHAT IT MEANS</w:t>
            </w:r>
          </w:p>
        </w:tc>
        <w:tc>
          <w:tcPr>
            <w:tcW w:type="dxa" w:w="226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BORDIO EXAMPLES</w:t>
            </w:r>
          </w:p>
        </w:tc>
        <w:tc>
          <w:tcPr>
            <w:tcW w:type="dxa" w:w="162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HOW IT MOVES</w:t>
            </w:r>
          </w:p>
        </w:tc>
        <w:tc>
          <w:tcPr>
            <w:tcW w:type="dxa" w:w="162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HUBSTAFF SETUP</w:t>
            </w:r>
          </w:p>
        </w:tc>
      </w:tr>
      <w:tr>
        <w:tc>
          <w:tcPr>
            <w:tcW w:type="dxa" w:w="16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REPETITIVE</w:t>
            </w:r>
          </w:p>
        </w:tc>
        <w:tc>
          <w:tcPr>
            <w:tcW w:type="dxa" w:w="22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 task that happens again and again for the same client — same job, new period.</w:t>
            </w:r>
          </w:p>
        </w:tc>
        <w:tc>
          <w:tcPr>
            <w:tcW w:type="dxa" w:w="22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64748B"/>
                <w:sz w:val="16"/>
                <w:szCs w:val="16"/>
              </w:rPr>
              <w:t xml:space="preserve">Monthly Reports to MFK · Noom monthly transactions · Bank statements · Payroll inquiries</w:t>
            </w:r>
          </w:p>
        </w:tc>
        <w:tc>
          <w:tcPr>
            <w:tcW w:type="dxa" w:w="162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Current open cycle only. Past cycles archived.</w:t>
            </w:r>
          </w:p>
        </w:tc>
        <w:tc>
          <w:tcPr>
            <w:tcW w:type="dxa" w:w="162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Set as a recurring task with monthly/weekly reset.</w:t>
            </w:r>
          </w:p>
        </w:tc>
      </w:tr>
      <w:tr>
        <w:tc>
          <w:tcPr>
            <w:tcW w:type="dxa" w:w="16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22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 task for a new client or a unique job that only happens once and closes when done.</w:t>
            </w:r>
          </w:p>
        </w:tc>
        <w:tc>
          <w:tcPr>
            <w:tcW w:type="dxa" w:w="22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64748B"/>
                <w:sz w:val="16"/>
                <w:szCs w:val="16"/>
              </w:rPr>
              <w:t xml:space="preserve">Generate invoice DUNCAN · File Declaration IB 2024 · Levenstestament · Extension Payment Plan</w:t>
            </w:r>
          </w:p>
        </w:tc>
        <w:tc>
          <w:tcPr>
            <w:tcW w:type="dxa" w:w="162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Migrate fully with all sub-tasks and attachments.</w:t>
            </w:r>
          </w:p>
        </w:tc>
        <w:tc>
          <w:tcPr>
            <w:tcW w:type="dxa" w:w="162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Standard task under client project. Close on completion.</w:t>
            </w:r>
          </w:p>
        </w:tc>
      </w:tr>
      <w:tr>
        <w:tc>
          <w:tcPr>
            <w:tcW w:type="dxa" w:w="1600"/>
            <w:tcBorders>
              <w:top w:val="single" w:color="CBD5E1" w:sz="1"/>
              <w:left w:val="single" w:color="CBD5E1" w:sz="1"/>
              <w:bottom w:val="single" w:color="CBD5E1" w:sz="1"/>
              <w:right w:val="single" w:color="CBD5E1" w:sz="1"/>
            </w:tcBorders>
            <w:shd w:fill="B8870C"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000000"/>
                <w:sz w:val="16"/>
                <w:szCs w:val="16"/>
              </w:rPr>
              <w:t xml:space="preserve">TEMPORARY</w:t>
            </w:r>
          </w:p>
        </w:tc>
        <w:tc>
          <w:tcPr>
            <w:tcW w:type="dxa" w:w="22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 short-life task — a meeting, quick review, or one-off action with a clear end point.</w:t>
            </w:r>
          </w:p>
        </w:tc>
        <w:tc>
          <w:tcPr>
            <w:tcW w:type="dxa" w:w="22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64748B"/>
                <w:sz w:val="16"/>
                <w:szCs w:val="16"/>
              </w:rPr>
              <w:t xml:space="preserve">Meeting with Tshepho · Review BDC account · Group Funds Transfer to TAS</w:t>
            </w:r>
          </w:p>
        </w:tc>
        <w:tc>
          <w:tcPr>
            <w:tcW w:type="dxa" w:w="162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Open ones migrate. Completed ones go to archive only.</w:t>
            </w:r>
          </w:p>
        </w:tc>
        <w:tc>
          <w:tcPr>
            <w:tcW w:type="dxa" w:w="162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Hard due date set. Auto-archived on completion.</w:t>
            </w:r>
          </w:p>
        </w:tc>
      </w:tr>
    </w:tbl>
    <w:p>
      <w:r>
        <w:br w:type="page"/>
      </w:r>
    </w:p>
    <w:p>
      <w:pPr>
        <w:shd w:fill="0C2340" w:val="clear"/>
        <w:spacing w:after="60" w:before="200"/>
      </w:pPr>
      <w:r>
        <w:rPr>
          <w:rFonts w:ascii="Arial" w:cs="Arial" w:eastAsia="Arial" w:hAnsi="Arial"/>
          <w:b/>
          <w:bCs/>
          <w:i w:val="false"/>
          <w:iCs w:val="false"/>
          <w:caps w:val="false"/>
          <w:color w:val="FFFFFF"/>
          <w:sz w:val="20"/>
          <w:szCs w:val="20"/>
        </w:rPr>
        <w:t xml:space="preserve">  2-WEEK MIGRATION PLAN — WEEK BY WEEK</w:t>
      </w:r>
    </w:p>
    <w:p>
      <w:pPr>
        <w:spacing w:after="60" w:before="0"/>
      </w:pPr>
      <w:r>
        <w:t xml:space="preserve"/>
      </w:r>
    </w:p>
    <w:p>
      <w:pPr>
        <w:pBdr>
          <w:left w:val="single" w:color="B8870C" w:sz="16" w:space="8"/>
        </w:pBdr>
        <w:spacing w:after="50" w:before="140"/>
        <w:ind w:left="160"/>
      </w:pPr>
      <w:r>
        <w:rPr>
          <w:rFonts w:ascii="Arial" w:cs="Arial" w:eastAsia="Arial" w:hAnsi="Arial"/>
          <w:b/>
          <w:bCs/>
          <w:i w:val="false"/>
          <w:iCs w:val="false"/>
          <w:caps w:val="false"/>
          <w:color w:val="0C2340"/>
          <w:sz w:val="19"/>
          <w:szCs w:val="19"/>
        </w:rPr>
        <w:t xml:space="preserve">WEEK 1 — Review, Setup &amp; Move  (Days 1–7)</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4560"/>
        <w:gridCol w:w="2500"/>
      </w:tblGrid>
      <w:tr>
        <w:tc>
          <w:tcPr>
            <w:tcW w:type="dxa" w:w="11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DAYS</w:t>
            </w:r>
          </w:p>
        </w:tc>
        <w:tc>
          <w:tcPr>
            <w:tcW w:type="dxa" w:w="12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w:t>
            </w:r>
          </w:p>
        </w:tc>
        <w:tc>
          <w:tcPr>
            <w:tcW w:type="dxa" w:w="456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WHAT HAPPENS</w:t>
            </w:r>
          </w:p>
        </w:tc>
        <w:tc>
          <w:tcPr>
            <w:tcW w:type="dxa" w:w="25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WHO</w:t>
            </w:r>
          </w:p>
        </w:tc>
      </w:tr>
      <w:tr>
        <w:tc>
          <w:tcPr>
            <w:tcW w:type="dxa" w:w="1100"/>
            <w:tcBorders>
              <w:top w:val="single" w:color="CBD5E1" w:sz="1"/>
              <w:left w:val="single" w:color="CBD5E1" w:sz="1"/>
              <w:bottom w:val="single" w:color="CBD5E1" w:sz="1"/>
              <w:right w:val="single" w:color="CBD5E1" w:sz="1"/>
            </w:tcBorders>
            <w:shd w:fill="334155"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1–2</w:t>
            </w:r>
          </w:p>
        </w:tc>
        <w:tc>
          <w:tcPr>
            <w:tcW w:type="dxa" w:w="12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REVIEW</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Log in to Bordio and go through every single ticket. Write down the ticket name, client, current status, and type (Repetitive / One-Time / Temporary) in the Migration Tracker. Do not move anything yet — this is a full read-through only.</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 PM</w:t>
            </w:r>
          </w:p>
        </w:tc>
      </w:tr>
      <w:tr>
        <w:tc>
          <w:tcPr>
            <w:tcW w:type="dxa" w:w="1100"/>
            <w:tcBorders>
              <w:top w:val="single" w:color="CBD5E1" w:sz="1"/>
              <w:left w:val="single" w:color="CBD5E1" w:sz="1"/>
              <w:bottom w:val="single" w:color="CBD5E1" w:sz="1"/>
              <w:right w:val="single" w:color="CBD5E1" w:sz="1"/>
            </w:tcBorders>
            <w:shd w:fill="334155"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2</w:t>
            </w:r>
          </w:p>
        </w:tc>
        <w:tc>
          <w:tcPr>
            <w:tcW w:type="dxa" w:w="12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REVIEW</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PM reviews the completed tracker, confirms all tickets are captured and correctly typed, and gives sign-off to begin moving tickets.</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r>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3</w:t>
            </w:r>
          </w:p>
        </w:tc>
        <w:tc>
          <w:tcPr>
            <w:tcW w:type="dxa" w:w="12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REVIEW</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Build the Hubstaff workspace: create all client projects, task sections, and invite all team members with correct roles. Mirror the Bordio structure as closely as possible.</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r>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4–5</w:t>
            </w:r>
          </w:p>
        </w:tc>
        <w:tc>
          <w:tcPr>
            <w:tcW w:type="dxa" w:w="12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MOVE</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Begin migrating tickets — start with the most urgent first. Repetitive: migrate current active cycle only. One-Time: migrate fully with sub-tasks. Temporary: migrate only those still open. Copy title, description, priority, due date, and assignee exactly.</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Person</w:t>
            </w:r>
          </w:p>
        </w:tc>
      </w:tr>
      <w:tr>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5</w:t>
            </w:r>
          </w:p>
        </w:tc>
        <w:tc>
          <w:tcPr>
            <w:tcW w:type="dxa" w:w="12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MOVE</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For every ticket moved: update the tracker row immediately with the new Hubstaff task ID and mark as Migrated. Do not wait until end of day.</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Person</w:t>
            </w:r>
          </w:p>
        </w:tc>
      </w:tr>
      <w:tr>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6–7</w:t>
            </w:r>
          </w:p>
        </w:tc>
        <w:tc>
          <w:tcPr>
            <w:tcW w:type="dxa" w:w="12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MOVE</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Continue migrating remaining tickets — backlog and lower-priority items. Complete all three ticket types by end of Day 7. PM does a daily spot-check on 20% of moved tickets.</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 PM</w:t>
            </w:r>
          </w:p>
        </w:tc>
      </w:tr>
    </w:tbl>
    <w:p>
      <w:pPr>
        <w:spacing w:after="80" w:before="0"/>
      </w:pPr>
      <w:r>
        <w:t xml:space="preserve"/>
      </w:r>
    </w:p>
    <w:p>
      <w:pPr>
        <w:pBdr>
          <w:left w:val="single" w:color="B8870C" w:sz="16" w:space="8"/>
        </w:pBdr>
        <w:spacing w:after="50" w:before="140"/>
        <w:ind w:left="160"/>
      </w:pPr>
      <w:r>
        <w:rPr>
          <w:rFonts w:ascii="Arial" w:cs="Arial" w:eastAsia="Arial" w:hAnsi="Arial"/>
          <w:b/>
          <w:bCs/>
          <w:i w:val="false"/>
          <w:iCs w:val="false"/>
          <w:caps w:val="false"/>
          <w:color w:val="0C2340"/>
          <w:sz w:val="19"/>
          <w:szCs w:val="19"/>
        </w:rPr>
        <w:t xml:space="preserve">WEEK 2 — Check, Fix &amp; Close  (Days 8–14)</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4560"/>
        <w:gridCol w:w="2500"/>
      </w:tblGrid>
      <w:tr>
        <w:tc>
          <w:tcPr>
            <w:tcW w:type="dxa" w:w="11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DAYS</w:t>
            </w:r>
          </w:p>
        </w:tc>
        <w:tc>
          <w:tcPr>
            <w:tcW w:type="dxa" w:w="12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PHASE</w:t>
            </w:r>
          </w:p>
        </w:tc>
        <w:tc>
          <w:tcPr>
            <w:tcW w:type="dxa" w:w="456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WHAT HAPPENS</w:t>
            </w:r>
          </w:p>
        </w:tc>
        <w:tc>
          <w:tcPr>
            <w:tcW w:type="dxa" w:w="25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WHO</w:t>
            </w:r>
          </w:p>
        </w:tc>
      </w:tr>
      <w:tr>
        <w:tc>
          <w:tcPr>
            <w:tcW w:type="dxa" w:w="11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8–9</w:t>
            </w:r>
          </w:p>
        </w:tc>
        <w:tc>
          <w:tcPr>
            <w:tcW w:type="dxa" w:w="12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CHECK</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PM and Data Entry Person go through every migrated ticket side-by-side. Check 5 things per ticket: correct title, full description, right priority, correct due date, correct assignee. Any issue gets flagged and fixed the same day.</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 PM</w:t>
            </w:r>
          </w:p>
        </w:tc>
      </w:tr>
      <w:tr>
        <w:tc>
          <w:tcPr>
            <w:tcW w:type="dxa" w:w="11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9</w:t>
            </w:r>
          </w:p>
        </w:tc>
        <w:tc>
          <w:tcPr>
            <w:tcW w:type="dxa" w:w="12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CHECK</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PM sends a message to every developer: 'Please review your tasks in Hubstaff and confirm they look right.' Collect their confirmation before moving forward.</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r>
        <w:tc>
          <w:tcPr>
            <w:tcW w:type="dxa" w:w="11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10</w:t>
            </w:r>
          </w:p>
        </w:tc>
        <w:tc>
          <w:tcPr>
            <w:tcW w:type="dxa" w:w="12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CHECK</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Fix all issues raised — missing descriptions, wrong assignees, incorrect priorities. Re-check fixed tickets once more before marking Verified in the tracker.</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Data Entry Person</w:t>
            </w:r>
          </w:p>
        </w:tc>
      </w:tr>
      <w:tr>
        <w:tc>
          <w:tcPr>
            <w:tcW w:type="dxa" w:w="11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11</w:t>
            </w:r>
          </w:p>
        </w:tc>
        <w:tc>
          <w:tcPr>
            <w:tcW w:type="dxa" w:w="12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CLOSE</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PM confirms zero unresolved issues remain. Total ticket count in Hubstaff must match the original Bordio count exactly — no ticket left behind.</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r>
        <w:tc>
          <w:tcPr>
            <w:tcW w:type="dxa" w:w="11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12</w:t>
            </w:r>
          </w:p>
        </w:tc>
        <w:tc>
          <w:tcPr>
            <w:tcW w:type="dxa" w:w="12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CLOSE</w:t>
            </w:r>
          </w:p>
        </w:tc>
        <w:tc>
          <w:tcPr>
            <w:tcW w:type="dxa" w:w="4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Formally stop all Bordio activity. Notify the entire team: Hubstaff is now the only active system. Bordio remains open as a read-only archive — nothing new is added.</w:t>
            </w:r>
          </w:p>
        </w:tc>
        <w:tc>
          <w:tcPr>
            <w:tcW w:type="dxa" w:w="25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r>
        <w:tc>
          <w:tcPr>
            <w:tcW w:type="dxa" w:w="11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13–14</w:t>
            </w:r>
          </w:p>
        </w:tc>
        <w:tc>
          <w:tcPr>
            <w:tcW w:type="dxa" w:w="1200"/>
            <w:tcBorders>
              <w:top w:val="single" w:color="CBD5E1" w:sz="1"/>
              <w:left w:val="single" w:color="CBD5E1" w:sz="1"/>
              <w:bottom w:val="single" w:color="CBD5E1" w:sz="1"/>
              <w:right w:val="single" w:color="CBD5E1" w:sz="1"/>
            </w:tcBorders>
            <w:shd w:fill="0C234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CLOSE</w:t>
            </w:r>
          </w:p>
        </w:tc>
        <w:tc>
          <w:tcPr>
            <w:tcW w:type="dxa" w:w="4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PM submits the final migration completion report to Hendrick Alves. Hubstaff is fully live. Migration declared complete.</w:t>
            </w:r>
          </w:p>
        </w:tc>
        <w:tc>
          <w:tcPr>
            <w:tcW w:type="dxa" w:w="25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iCs/>
                <w:caps w:val="false"/>
                <w:color w:val="0C2340"/>
                <w:sz w:val="16"/>
                <w:szCs w:val="16"/>
              </w:rPr>
              <w:t xml:space="preserve">PM — Abdul Rafaay</w:t>
            </w:r>
          </w:p>
        </w:tc>
      </w:tr>
    </w:tbl>
    <w:p>
      <w:pPr>
        <w:spacing w:after="100" w:before="0"/>
      </w:pPr>
      <w:r>
        <w:t xml:space="preserve"/>
      </w:r>
    </w:p>
    <w:p>
      <w:pPr>
        <w:shd w:fill="0A7C6E" w:val="clear"/>
        <w:spacing w:after="60" w:before="200"/>
      </w:pPr>
      <w:r>
        <w:rPr>
          <w:rFonts w:ascii="Arial" w:cs="Arial" w:eastAsia="Arial" w:hAnsi="Arial"/>
          <w:b/>
          <w:bCs/>
          <w:i w:val="false"/>
          <w:iCs w:val="false"/>
          <w:caps w:val="false"/>
          <w:color w:val="FFFFFF"/>
          <w:sz w:val="20"/>
          <w:szCs w:val="20"/>
        </w:rPr>
        <w:t xml:space="preserve">  HOW EACH TICKET TYPE IS HANDLED DURING THE MOVE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2640"/>
        <w:gridCol w:w="2640"/>
        <w:gridCol w:w="2560"/>
      </w:tblGrid>
      <w:tr>
        <w:tc>
          <w:tcPr>
            <w:tcW w:type="dxa" w:w="152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TICKET TYPE</w:t>
            </w:r>
          </w:p>
        </w:tc>
        <w:tc>
          <w:tcPr>
            <w:tcW w:type="dxa" w:w="264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WHAT TO COPY FROM BORDIO</w:t>
            </w:r>
          </w:p>
        </w:tc>
        <w:tc>
          <w:tcPr>
            <w:tcW w:type="dxa" w:w="264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HOW TO SET IT UP IN HUBSTAFF</w:t>
            </w:r>
          </w:p>
        </w:tc>
        <w:tc>
          <w:tcPr>
            <w:tcW w:type="dxa" w:w="256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AFTER MIGRATION</w:t>
            </w:r>
          </w:p>
        </w:tc>
      </w:tr>
      <w:tr>
        <w:tc>
          <w:tcPr>
            <w:tcW w:type="dxa" w:w="152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REPETITIVE</w:t>
            </w:r>
          </w:p>
        </w:tc>
        <w:tc>
          <w:tcPr>
            <w:tcW w:type="dxa" w:w="26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Title · Description · Assignee · Due date (current cycle only) · Any active notes or comments</w:t>
            </w:r>
          </w:p>
        </w:tc>
        <w:tc>
          <w:tcPr>
            <w:tcW w:type="dxa" w:w="26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Create as recurring task. Set the correct repeat interval (monthly/weekly). Place under the right client project.</w:t>
            </w:r>
          </w:p>
        </w:tc>
        <w:tc>
          <w:tcPr>
            <w:tcW w:type="dxa" w:w="2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Add a note: 'Previous cycles completed in Bordio — archived.' Developer confirms task is correct.</w:t>
            </w:r>
          </w:p>
        </w:tc>
      </w:tr>
      <w:tr>
        <w:tc>
          <w:tcPr>
            <w:tcW w:type="dxa" w:w="152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26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Title · Full description · All sub-tasks · Priority · Due date · Assignee · Attachments</w:t>
            </w:r>
          </w:p>
        </w:tc>
        <w:tc>
          <w:tcPr>
            <w:tcW w:type="dxa" w:w="264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Create as a standard task under the client's project. Recreate each sub-task individually. Re-upload all files.</w:t>
            </w:r>
          </w:p>
        </w:tc>
        <w:tc>
          <w:tcPr>
            <w:tcW w:type="dxa" w:w="256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Task closes when the job is done. PM marks complete and notifies the relevant client-facing team member.</w:t>
            </w:r>
          </w:p>
        </w:tc>
      </w:tr>
      <w:tr>
        <w:tc>
          <w:tcPr>
            <w:tcW w:type="dxa" w:w="1520"/>
            <w:tcBorders>
              <w:top w:val="single" w:color="CBD5E1" w:sz="1"/>
              <w:left w:val="single" w:color="CBD5E1" w:sz="1"/>
              <w:bottom w:val="single" w:color="CBD5E1" w:sz="1"/>
              <w:right w:val="single" w:color="CBD5E1" w:sz="1"/>
            </w:tcBorders>
            <w:shd w:fill="B8870C"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000000"/>
                <w:sz w:val="16"/>
                <w:szCs w:val="16"/>
              </w:rPr>
              <w:t xml:space="preserve">TEMPORARY</w:t>
            </w:r>
          </w:p>
        </w:tc>
        <w:tc>
          <w:tcPr>
            <w:tcW w:type="dxa" w:w="26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Title · Description · Due date · Assignee. Check if still open or already done before migrating.</w:t>
            </w:r>
          </w:p>
        </w:tc>
        <w:tc>
          <w:tcPr>
            <w:tcW w:type="dxa" w:w="264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Create under a 'Temporary Tasks' section in the relevant project. Add the label TEMP. Set a hard due date.</w:t>
            </w:r>
          </w:p>
        </w:tc>
        <w:tc>
          <w:tcPr>
            <w:tcW w:type="dxa" w:w="256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Archive immediately on completion. Any temp task open past its due date is escalated to PM within 24 hours.</w:t>
            </w:r>
          </w:p>
        </w:tc>
      </w:tr>
    </w:tbl>
    <w:p>
      <w:r>
        <w:br w:type="page"/>
      </w:r>
    </w:p>
    <w:p>
      <w:pPr>
        <w:shd w:fill="0C2340" w:val="clear"/>
        <w:spacing w:after="60" w:before="200"/>
      </w:pPr>
      <w:r>
        <w:rPr>
          <w:rFonts w:ascii="Arial" w:cs="Arial" w:eastAsia="Arial" w:hAnsi="Arial"/>
          <w:b/>
          <w:bCs/>
          <w:i w:val="false"/>
          <w:iCs w:val="false"/>
          <w:caps w:val="false"/>
          <w:color w:val="FFFFFF"/>
          <w:sz w:val="20"/>
          <w:szCs w:val="20"/>
        </w:rPr>
        <w:t xml:space="preserve">  MIGRATION TRACKER — WHAT TO LOG FOR EVERY TICKET</w:t>
      </w:r>
    </w:p>
    <w:p>
      <w:pPr>
        <w:spacing w:after="60" w:before="0"/>
      </w:pPr>
      <w:r>
        <w:t xml:space="preserve"/>
      </w:r>
    </w:p>
    <w:p>
      <w:pPr>
        <w:spacing w:after="60" w:before="20"/>
        <w:jc w:val="left"/>
      </w:pPr>
      <w:r>
        <w:rPr>
          <w:rFonts w:ascii="Arial" w:cs="Arial" w:eastAsia="Arial" w:hAnsi="Arial"/>
          <w:b w:val="false"/>
          <w:bCs w:val="false"/>
          <w:i w:val="false"/>
          <w:iCs w:val="false"/>
          <w:caps w:val="false"/>
          <w:color w:val="334155"/>
          <w:sz w:val="17"/>
          <w:szCs w:val="17"/>
        </w:rPr>
        <w:t xml:space="preserve">One row per ticket. Fill every column as you go. The PM reviews this tracker every morning.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100"/>
        <w:gridCol w:w="1100"/>
        <w:gridCol w:w="1200"/>
        <w:gridCol w:w="1000"/>
        <w:gridCol w:w="1180"/>
        <w:gridCol w:w="1180"/>
        <w:gridCol w:w="1600"/>
      </w:tblGrid>
      <w:tr>
        <w:tc>
          <w:tcPr>
            <w:tcW w:type="dxa" w:w="3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w:t>
            </w:r>
          </w:p>
        </w:tc>
        <w:tc>
          <w:tcPr>
            <w:tcW w:type="dxa" w:w="17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TICKET</w:t>
            </w:r>
          </w:p>
        </w:tc>
        <w:tc>
          <w:tcPr>
            <w:tcW w:type="dxa" w:w="11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CLIENT</w:t>
            </w:r>
          </w:p>
        </w:tc>
        <w:tc>
          <w:tcPr>
            <w:tcW w:type="dxa" w:w="11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TYPE</w:t>
            </w:r>
          </w:p>
        </w:tc>
        <w:tc>
          <w:tcPr>
            <w:tcW w:type="dxa" w:w="12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STATUS (BORDIO)</w:t>
            </w:r>
          </w:p>
        </w:tc>
        <w:tc>
          <w:tcPr>
            <w:tcW w:type="dxa" w:w="10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PRIORITY</w:t>
            </w:r>
          </w:p>
        </w:tc>
        <w:tc>
          <w:tcPr>
            <w:tcW w:type="dxa" w:w="118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MIGRATED</w:t>
            </w:r>
          </w:p>
        </w:tc>
        <w:tc>
          <w:tcPr>
            <w:tcW w:type="dxa" w:w="118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VERIFIED</w:t>
            </w:r>
          </w:p>
        </w:tc>
        <w:tc>
          <w:tcPr>
            <w:tcW w:type="dxa" w:w="1600"/>
            <w:gridSpan w:val="1"/>
            <w:tcBorders>
              <w:top w:val="single" w:color="CBD5E1" w:sz="1"/>
              <w:left w:val="single" w:color="CBD5E1" w:sz="1"/>
              <w:bottom w:val="single" w:color="CBD5E1" w:sz="1"/>
              <w:right w:val="single" w:color="CBD5E1" w:sz="1"/>
            </w:tcBorders>
            <w:shd w:fill="0C234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5"/>
                <w:szCs w:val="15"/>
              </w:rPr>
              <w:t xml:space="preserve">NOTES</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1</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Monthly Reports to MFK</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MFK</w:t>
            </w:r>
          </w:p>
        </w:tc>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Repetitive</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Open</w:t>
            </w:r>
          </w:p>
        </w:tc>
        <w:tc>
          <w:tcPr>
            <w:tcW w:type="dxa" w:w="1000"/>
            <w:tcBorders>
              <w:top w:val="single" w:color="CBD5E1" w:sz="1"/>
              <w:left w:val="single" w:color="CBD5E1" w:sz="1"/>
              <w:bottom w:val="single" w:color="CBD5E1" w:sz="1"/>
              <w:right w:val="single" w:color="CBD5E1" w:sz="1"/>
            </w:tcBorders>
            <w:shd w:fill="92400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Medium</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2</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Bank Statements – Request</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Various</w:t>
            </w:r>
          </w:p>
        </w:tc>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Repetitive</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Open</w:t>
            </w:r>
          </w:p>
        </w:tc>
        <w:tc>
          <w:tcPr>
            <w:tcW w:type="dxa" w:w="1000"/>
            <w:tcBorders>
              <w:top w:val="single" w:color="CBD5E1" w:sz="1"/>
              <w:left w:val="single" w:color="CBD5E1" w:sz="1"/>
              <w:bottom w:val="single" w:color="CBD5E1" w:sz="1"/>
              <w:right w:val="single" w:color="CBD5E1" w:sz="1"/>
            </w:tcBorders>
            <w:shd w:fill="6B728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3</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Noom – Monthly Transaction</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Noom</w:t>
            </w:r>
          </w:p>
        </w:tc>
        <w:tc>
          <w:tcPr>
            <w:tcW w:type="dxa" w:w="1100"/>
            <w:tcBorders>
              <w:top w:val="single" w:color="CBD5E1" w:sz="1"/>
              <w:left w:val="single" w:color="CBD5E1" w:sz="1"/>
              <w:bottom w:val="single" w:color="CBD5E1" w:sz="1"/>
              <w:right w:val="single" w:color="CBD5E1" w:sz="1"/>
            </w:tcBorders>
            <w:shd w:fill="0A7C6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Repetitive</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Open</w:t>
            </w:r>
          </w:p>
        </w:tc>
        <w:tc>
          <w:tcPr>
            <w:tcW w:type="dxa" w:w="1000"/>
            <w:tcBorders>
              <w:top w:val="single" w:color="CBD5E1" w:sz="1"/>
              <w:left w:val="single" w:color="CBD5E1" w:sz="1"/>
              <w:bottom w:val="single" w:color="CBD5E1" w:sz="1"/>
              <w:right w:val="single" w:color="CBD5E1" w:sz="1"/>
            </w:tcBorders>
            <w:shd w:fill="92400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Medium</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4</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Demand Letter Taxes 2021/22</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Client</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991B1B"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High</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5</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Extension Payment Plan / Tax</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Client</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7F1D1D"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Critical</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6</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File Declaration – IB 2024</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Client</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Awaiting</w:t>
            </w:r>
          </w:p>
        </w:tc>
        <w:tc>
          <w:tcPr>
            <w:tcW w:type="dxa" w:w="10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Low</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7</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Generate Invoice – DUNCAN Jonathan</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DUNCAN</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New Task</w:t>
            </w:r>
          </w:p>
        </w:tc>
        <w:tc>
          <w:tcPr>
            <w:tcW w:type="dxa" w:w="1000"/>
            <w:tcBorders>
              <w:top w:val="single" w:color="CBD5E1" w:sz="1"/>
              <w:left w:val="single" w:color="CBD5E1" w:sz="1"/>
              <w:bottom w:val="single" w:color="CBD5E1" w:sz="1"/>
              <w:right w:val="single" w:color="CBD5E1" w:sz="1"/>
            </w:tcBorders>
            <w:shd w:fill="92400E"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Medium</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8</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Levenstestament</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Client</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991B1B"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High</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9</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Pointers – NOOM Charges</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Noom</w:t>
            </w:r>
          </w:p>
        </w:tc>
        <w:tc>
          <w:tcPr>
            <w:tcW w:type="dxa" w:w="1100"/>
            <w:tcBorders>
              <w:top w:val="single" w:color="CBD5E1" w:sz="1"/>
              <w:left w:val="single" w:color="CBD5E1" w:sz="1"/>
              <w:bottom w:val="single" w:color="CBD5E1" w:sz="1"/>
              <w:right w:val="single" w:color="CBD5E1" w:sz="1"/>
            </w:tcBorders>
            <w:shd w:fill="1A56A0"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One-Time</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Low</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10</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Meeting – Tshepho Agreement</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Internal</w:t>
            </w:r>
          </w:p>
        </w:tc>
        <w:tc>
          <w:tcPr>
            <w:tcW w:type="dxa" w:w="1100"/>
            <w:tcBorders>
              <w:top w:val="single" w:color="CBD5E1" w:sz="1"/>
              <w:left w:val="single" w:color="CBD5E1" w:sz="1"/>
              <w:bottom w:val="single" w:color="CBD5E1" w:sz="1"/>
              <w:right w:val="single" w:color="CBD5E1" w:sz="1"/>
            </w:tcBorders>
            <w:shd w:fill="B8870C"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000000"/>
                <w:sz w:val="16"/>
                <w:szCs w:val="16"/>
              </w:rPr>
              <w:t xml:space="preserve">Temporary</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Low</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11</w:t>
            </w:r>
          </w:p>
        </w:tc>
        <w:tc>
          <w:tcPr>
            <w:tcW w:type="dxa" w:w="17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Review BDC Account 171379</w:t>
            </w:r>
          </w:p>
        </w:tc>
        <w:tc>
          <w:tcPr>
            <w:tcW w:type="dxa" w:w="11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BDC</w:t>
            </w:r>
          </w:p>
        </w:tc>
        <w:tc>
          <w:tcPr>
            <w:tcW w:type="dxa" w:w="1100"/>
            <w:tcBorders>
              <w:top w:val="single" w:color="CBD5E1" w:sz="1"/>
              <w:left w:val="single" w:color="CBD5E1" w:sz="1"/>
              <w:bottom w:val="single" w:color="CBD5E1" w:sz="1"/>
              <w:right w:val="single" w:color="CBD5E1" w:sz="1"/>
            </w:tcBorders>
            <w:shd w:fill="B8870C"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000000"/>
                <w:sz w:val="16"/>
                <w:szCs w:val="16"/>
              </w:rPr>
              <w:t xml:space="preserve">Temporary</w:t>
            </w:r>
          </w:p>
        </w:tc>
        <w:tc>
          <w:tcPr>
            <w:tcW w:type="dxa" w:w="12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New Task</w:t>
            </w:r>
          </w:p>
        </w:tc>
        <w:tc>
          <w:tcPr>
            <w:tcW w:type="dxa" w:w="1000"/>
            <w:tcBorders>
              <w:top w:val="single" w:color="CBD5E1" w:sz="1"/>
              <w:left w:val="single" w:color="CBD5E1" w:sz="1"/>
              <w:bottom w:val="single" w:color="CBD5E1" w:sz="1"/>
              <w:right w:val="single" w:color="CBD5E1" w:sz="1"/>
            </w:tcBorders>
            <w:shd w:fill="991B1B"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High</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5"/>
                <w:szCs w:val="15"/>
              </w:rPr>
              <w:t xml:space="preserve">12</w:t>
            </w:r>
          </w:p>
        </w:tc>
        <w:tc>
          <w:tcPr>
            <w:tcW w:type="dxa" w:w="17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Group Funds Transfer – TAS</w:t>
            </w:r>
          </w:p>
        </w:tc>
        <w:tc>
          <w:tcPr>
            <w:tcW w:type="dxa" w:w="11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TAS</w:t>
            </w:r>
          </w:p>
        </w:tc>
        <w:tc>
          <w:tcPr>
            <w:tcW w:type="dxa" w:w="1100"/>
            <w:tcBorders>
              <w:top w:val="single" w:color="CBD5E1" w:sz="1"/>
              <w:left w:val="single" w:color="CBD5E1" w:sz="1"/>
              <w:bottom w:val="single" w:color="CBD5E1" w:sz="1"/>
              <w:right w:val="single" w:color="CBD5E1" w:sz="1"/>
            </w:tcBorders>
            <w:shd w:fill="B8870C"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000000"/>
                <w:sz w:val="16"/>
                <w:szCs w:val="16"/>
              </w:rPr>
              <w:t xml:space="preserve">Temporary</w:t>
            </w:r>
          </w:p>
        </w:tc>
        <w:tc>
          <w:tcPr>
            <w:tcW w:type="dxa" w:w="12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5"/>
                <w:szCs w:val="15"/>
              </w:rPr>
              <w:t xml:space="preserve">In Progress</w:t>
            </w:r>
          </w:p>
        </w:tc>
        <w:tc>
          <w:tcPr>
            <w:tcW w:type="dxa" w:w="1000"/>
            <w:tcBorders>
              <w:top w:val="single" w:color="CBD5E1" w:sz="1"/>
              <w:left w:val="single" w:color="CBD5E1" w:sz="1"/>
              <w:bottom w:val="single" w:color="CBD5E1" w:sz="1"/>
              <w:right w:val="single" w:color="CBD5E1" w:sz="1"/>
            </w:tcBorders>
            <w:shd w:fill="166534"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16"/>
                <w:szCs w:val="16"/>
              </w:rPr>
              <w:t xml:space="preserve">Low</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18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aps w:val="false"/>
                <w:color w:val="64748B"/>
                <w:sz w:val="15"/>
                <w:szCs w:val="15"/>
              </w:rPr>
              <w:t xml:space="preserve">—</w:t>
            </w:r>
          </w:p>
        </w:tc>
        <w:tc>
          <w:tcPr>
            <w:tcW w:type="dxa" w:w="16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64748B"/>
                <w:sz w:val="15"/>
                <w:szCs w:val="15"/>
              </w:rPr>
              <w:t xml:space="preserve">—</w:t>
            </w:r>
          </w:p>
        </w:tc>
      </w:tr>
    </w:tbl>
    <w:p>
      <w:pPr>
        <w:spacing w:after="100" w:before="0"/>
      </w:pPr>
      <w:r>
        <w:t xml:space="preserve"/>
      </w:r>
    </w:p>
    <w:p>
      <w:pPr>
        <w:shd w:fill="334155" w:val="clear"/>
        <w:spacing w:after="60" w:before="200"/>
      </w:pPr>
      <w:r>
        <w:rPr>
          <w:rFonts w:ascii="Arial" w:cs="Arial" w:eastAsia="Arial" w:hAnsi="Arial"/>
          <w:b/>
          <w:bCs/>
          <w:i w:val="false"/>
          <w:iCs w:val="false"/>
          <w:caps w:val="false"/>
          <w:color w:val="FFFFFF"/>
          <w:sz w:val="20"/>
          <w:szCs w:val="20"/>
        </w:rPr>
        <w:t xml:space="preserve">  SIMPLE RULES — FOR EVERYONE ON THIS MIGRATION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W w:type="dxa" w:w="300"/>
            <w:gridSpan w:val="1"/>
            <w:tcBorders>
              <w:top w:val="single" w:color="CBD5E1" w:sz="1"/>
              <w:left w:val="single" w:color="CBD5E1" w:sz="1"/>
              <w:bottom w:val="single" w:color="CBD5E1" w:sz="1"/>
              <w:right w:val="single" w:color="CBD5E1" w:sz="1"/>
            </w:tcBorders>
            <w:shd w:fill="334155"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w:t>
            </w:r>
          </w:p>
        </w:tc>
        <w:tc>
          <w:tcPr>
            <w:tcW w:type="dxa" w:w="4530"/>
            <w:gridSpan w:val="1"/>
            <w:tcBorders>
              <w:top w:val="single" w:color="CBD5E1" w:sz="1"/>
              <w:left w:val="single" w:color="CBD5E1" w:sz="1"/>
              <w:bottom w:val="single" w:color="CBD5E1" w:sz="1"/>
              <w:right w:val="single" w:color="CBD5E1" w:sz="1"/>
            </w:tcBorders>
            <w:shd w:fill="0A7C6E"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DATA ENTRY PERSON — MUST DO</w:t>
            </w:r>
          </w:p>
        </w:tc>
        <w:tc>
          <w:tcPr>
            <w:tcW w:type="dxa" w:w="4530"/>
            <w:gridSpan w:val="1"/>
            <w:tcBorders>
              <w:top w:val="single" w:color="CBD5E1" w:sz="1"/>
              <w:left w:val="single" w:color="CBD5E1" w:sz="1"/>
              <w:bottom w:val="single" w:color="CBD5E1" w:sz="1"/>
              <w:right w:val="single" w:color="CBD5E1" w:sz="1"/>
            </w:tcBorders>
            <w:shd w:fill="1A56A0" w:val="clear"/>
            <w:tcMar>
              <w:top w:type="dxa" w:w="90"/>
              <w:left w:type="dxa" w:w="120"/>
              <w:bottom w:type="dxa" w:w="90"/>
              <w:right w:type="dxa" w:w="120"/>
            </w:tcMar>
            <w:vAlign w:val="center"/>
          </w:tcPr>
          <w:p>
            <w:pPr>
              <w:jc w:val="center"/>
            </w:pPr>
            <w:r>
              <w:rPr>
                <w:rFonts w:ascii="Arial" w:cs="Arial" w:eastAsia="Arial" w:hAnsi="Arial"/>
                <w:b/>
                <w:bCs/>
                <w:i w:val="false"/>
                <w:iCs w:val="false"/>
                <w:caps w:val="false"/>
                <w:color w:val="FFFFFF"/>
                <w:sz w:val="16"/>
                <w:szCs w:val="16"/>
              </w:rPr>
              <w:t xml:space="preserve">PROJECT MANAGER — MUST DO</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1</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Read every Bordio ticket fully before migrating — never skim.</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Review and approve the tracker before any tickets are moved.</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2</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Copy the title exactly. Never rephrase or shorten it.</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Do a daily spot-check on at least 20% of tickets moved that day.</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3</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Update the tracker immediately after each ticket — never batch at end of day.</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Collect written confirmation from every developer by Day 9.</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4</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If something is unclear — stop and ask the PM. Never guess.</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Escalate any unresolved issue to Hendrick Alves within 24 hours.</w:t>
            </w:r>
          </w:p>
        </w:tc>
      </w:tr>
      <w:tr>
        <w:tc>
          <w:tcPr>
            <w:tcW w:type="dxa" w:w="30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5</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Never delete anything from Bordio. It stays as the archive.</w:t>
            </w:r>
          </w:p>
        </w:tc>
        <w:tc>
          <w:tcPr>
            <w:tcW w:type="dxa" w:w="4530"/>
            <w:gridSpan w:val="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Submit daily progress update to Hendrick Alves every evening.</w:t>
            </w:r>
          </w:p>
        </w:tc>
      </w:tr>
      <w:tr>
        <w:tc>
          <w:tcPr>
            <w:tcW w:type="dxa" w:w="30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334155"/>
                <w:sz w:val="17"/>
                <w:szCs w:val="17"/>
              </w:rPr>
              <w:t xml:space="preserve">6</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Flag any ticket with missing info in the tracker Notes column immediately.</w:t>
            </w:r>
          </w:p>
        </w:tc>
        <w:tc>
          <w:tcPr>
            <w:tcW w:type="dxa" w:w="4530"/>
            <w:gridSpan w:val="1"/>
            <w:tcBorders>
              <w:top w:val="single" w:color="CBD5E1" w:sz="1"/>
              <w:left w:val="single" w:color="CBD5E1" w:sz="1"/>
              <w:bottom w:val="single" w:color="CBD5E1" w:sz="1"/>
              <w:right w:val="single" w:color="CBD5E1" w:sz="1"/>
            </w:tcBorders>
            <w:shd w:fill="EDF4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aps w:val="false"/>
                <w:color w:val="334155"/>
                <w:sz w:val="16"/>
                <w:szCs w:val="16"/>
              </w:rPr>
              <w:t xml:space="preserve">Declare migration complete only when tracker shows 100% Verified.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3FA" w:val="clear"/>
            <w:tcMar>
              <w:top w:type="dxa" w:w="120"/>
              <w:left w:type="dxa" w:w="200"/>
              <w:bottom w:type="dxa" w:w="120"/>
              <w:right w:type="dxa" w:w="200"/>
            </w:tcMar>
          </w:tcPr>
          <w:p>
            <w:pPr>
              <w:spacing w:after="20" w:before="0"/>
            </w:pPr>
            <w:r>
              <w:t xml:space="preserve"/>
            </w:r>
          </w:p>
          <w:p>
            <w:r>
              <w:rPr>
                <w:rFonts w:ascii="Arial" w:cs="Arial" w:eastAsia="Arial" w:hAnsi="Arial"/>
                <w:b w:val="false"/>
                <w:bCs w:val="false"/>
                <w:i w:val="false"/>
                <w:iCs w:val="false"/>
                <w:caps w:val="false"/>
                <w:color w:val="64748B"/>
                <w:sz w:val="15"/>
                <w:szCs w:val="15"/>
              </w:rPr>
              <w:t xml:space="preserve">Prepared By</w:t>
            </w:r>
          </w:p>
          <w:p>
            <w:r>
              <w:rPr>
                <w:rFonts w:ascii="Arial" w:cs="Arial" w:eastAsia="Arial" w:hAnsi="Arial"/>
                <w:b/>
                <w:bCs/>
                <w:i w:val="false"/>
                <w:iCs w:val="false"/>
                <w:caps w:val="false"/>
                <w:color w:val="0C2340"/>
                <w:sz w:val="22"/>
                <w:szCs w:val="22"/>
              </w:rPr>
              <w:t xml:space="preserve">Abdul Rafaay</w:t>
            </w:r>
          </w:p>
          <w:p>
            <w:r>
              <w:rPr>
                <w:rFonts w:ascii="Arial" w:cs="Arial" w:eastAsia="Arial" w:hAnsi="Arial"/>
                <w:b w:val="false"/>
                <w:bCs w:val="false"/>
                <w:i w:val="false"/>
                <w:iCs w:val="false"/>
                <w:caps w:val="false"/>
                <w:color w:val="1A56A0"/>
                <w:sz w:val="16"/>
                <w:szCs w:val="16"/>
              </w:rPr>
              <w:t xml:space="preserve">Project Manager  —  The Advantage Services</w:t>
            </w:r>
          </w:p>
          <w:p>
            <w:r>
              <w:rPr>
                <w:rFonts w:ascii="Arial" w:cs="Arial" w:eastAsia="Arial" w:hAnsi="Arial"/>
                <w:b w:val="false"/>
                <w:bCs w:val="false"/>
                <w:i w:val="false"/>
                <w:iCs w:val="false"/>
                <w:caps w:val="false"/>
                <w:color w:val="64748B"/>
                <w:sz w:val="15"/>
                <w:szCs w:val="15"/>
              </w:rPr>
              <w:t xml:space="preserve">Migration Period: June 2026</w:t>
            </w:r>
          </w:p>
          <w:p>
            <w:pPr>
              <w:spacing w:after="20" w:before="0"/>
            </w:pPr>
            <w:r>
              <w:t xml:space="preserve"/>
            </w:r>
          </w:p>
        </w:tc>
        <w:tc>
          <w:tcPr>
            <w:tcW w:type="dxa" w:w="4680"/>
            <w:tcBorders>
              <w:top w:val="none" w:color="FFFFFF" w:sz="0"/>
              <w:left w:val="none" w:color="FFFFFF" w:sz="0"/>
              <w:bottom w:val="none" w:color="FFFFFF" w:sz="0"/>
              <w:right w:val="none" w:color="FFFFFF" w:sz="0"/>
            </w:tcBorders>
            <w:shd w:fill="EEF3FA" w:val="clear"/>
            <w:tcMar>
              <w:top w:type="dxa" w:w="120"/>
              <w:left w:type="dxa" w:w="200"/>
              <w:bottom w:type="dxa" w:w="120"/>
              <w:right w:type="dxa" w:w="200"/>
            </w:tcMar>
          </w:tcPr>
          <w:p>
            <w:pPr>
              <w:spacing w:after="20" w:before="0"/>
            </w:pPr>
            <w:r>
              <w:t xml:space="preserve"/>
            </w:r>
          </w:p>
          <w:p>
            <w:r>
              <w:rPr>
                <w:rFonts w:ascii="Arial" w:cs="Arial" w:eastAsia="Arial" w:hAnsi="Arial"/>
                <w:b w:val="false"/>
                <w:bCs w:val="false"/>
                <w:i w:val="false"/>
                <w:iCs w:val="false"/>
                <w:caps w:val="false"/>
                <w:color w:val="64748B"/>
                <w:sz w:val="15"/>
                <w:szCs w:val="15"/>
              </w:rPr>
              <w:t xml:space="preserve">Reviewed By</w:t>
            </w:r>
          </w:p>
          <w:p>
            <w:r>
              <w:rPr>
                <w:rFonts w:ascii="Arial" w:cs="Arial" w:eastAsia="Arial" w:hAnsi="Arial"/>
                <w:b/>
                <w:bCs/>
                <w:i w:val="false"/>
                <w:iCs w:val="false"/>
                <w:caps w:val="false"/>
                <w:color w:val="0C2340"/>
                <w:sz w:val="22"/>
                <w:szCs w:val="22"/>
              </w:rPr>
              <w:t xml:space="preserve">Hendrick Alves</w:t>
            </w:r>
          </w:p>
          <w:p>
            <w:r>
              <w:rPr>
                <w:rFonts w:ascii="Arial" w:cs="Arial" w:eastAsia="Arial" w:hAnsi="Arial"/>
                <w:b w:val="false"/>
                <w:bCs w:val="false"/>
                <w:i w:val="false"/>
                <w:iCs w:val="false"/>
                <w:caps w:val="false"/>
                <w:color w:val="1A56A0"/>
                <w:sz w:val="16"/>
                <w:szCs w:val="16"/>
              </w:rPr>
              <w:t xml:space="preserve">Reporting Manager  —  The Advantage Services</w:t>
            </w:r>
          </w:p>
          <w:p>
            <w:r>
              <w:rPr>
                <w:rFonts w:ascii="Arial" w:cs="Arial" w:eastAsia="Arial" w:hAnsi="Arial"/>
                <w:b w:val="false"/>
                <w:bCs w:val="false"/>
                <w:i w:val="false"/>
                <w:iCs w:val="false"/>
                <w:caps w:val="false"/>
                <w:color w:val="64748B"/>
                <w:sz w:val="15"/>
                <w:szCs w:val="15"/>
              </w:rPr>
              <w:t xml:space="preserve">Approval Date: _______________</w:t>
            </w:r>
          </w:p>
          <w:p>
            <w:pPr>
              <w:spacing w:after="20" w:before="0"/>
            </w:pPr>
            <w:r>
              <w:t xml:space="preserve"/>
            </w:r>
          </w:p>
        </w:tc>
      </w:tr>
    </w:tbl>
    <w:p>
      <w:pPr>
        <w:spacing w:after="60" w:before="0"/>
      </w:pPr>
      <w:r>
        <w:t xml:space="preserve"/>
      </w:r>
    </w:p>
    <w:p>
      <w:pPr>
        <w:jc w:val="center"/>
      </w:pPr>
      <w:r>
        <w:rPr>
          <w:rFonts w:ascii="Arial" w:cs="Arial" w:eastAsia="Arial" w:hAnsi="Arial"/>
          <w:b w:val="false"/>
          <w:bCs w:val="false"/>
          <w:i/>
          <w:iCs/>
          <w:caps w:val="false"/>
          <w:color w:val="64748B"/>
          <w:sz w:val="14"/>
          <w:szCs w:val="14"/>
        </w:rPr>
        <w:t xml:space="preserve">Draft — Flexible &amp; Adaptable  |  Confidential — Internal Use Only</w:t>
      </w:r>
    </w:p>
    <w:sectPr>
      <w:headerReference w:type="default" r:id="rId7"/>
      <w:footerReference w:type="default" r:id="rId8"/>
      <w:pgSz w:w="12240" w:h="15840"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tabs>
        <w:tab w:val="right" w:pos="9360"/>
      </w:tabs>
    </w:pPr>
    <w:r>
      <w:rPr>
        <w:rFonts w:ascii="Arial" w:cs="Arial" w:eastAsia="Arial" w:hAnsi="Arial"/>
        <w:b w:val="false"/>
        <w:bCs w:val="false"/>
        <w:i w:val="false"/>
        <w:iCs w:val="false"/>
        <w:caps w:val="false"/>
        <w:color w:val="64748B"/>
        <w:sz w:val="14"/>
        <w:szCs w:val="14"/>
      </w:rPr>
      <w:t xml:space="preserve">CONFIDENTIAL — INTERNAL USE ONLY</w:t>
    </w:r>
    <w:r>
      <w:rPr>
        <w:rFonts w:ascii="Arial" w:cs="Arial" w:eastAsia="Arial" w:hAnsi="Arial"/>
        <w:b w:val="false"/>
        <w:bCs w:val="false"/>
        <w:i w:val="false"/>
        <w:iCs w:val="false"/>
        <w:caps w:val="false"/>
        <w:color w:val="64748B"/>
        <w:sz w:val="14"/>
        <w:szCs w:val="14"/>
      </w:rPr>
      <w:t xml:space="preserve">	PM: Abdul Rafaay   |   Reporting To: Hendrick Alves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tabs>
        <w:tab w:val="right" w:pos="9360"/>
      </w:tabs>
    </w:pPr>
    <w:r>
      <w:rPr>
        <w:rFonts w:ascii="Arial" w:cs="Arial" w:eastAsia="Arial" w:hAnsi="Arial"/>
        <w:b/>
        <w:bCs/>
        <w:i w:val="false"/>
        <w:iCs w:val="false"/>
        <w:caps w:val="false"/>
        <w:color w:val="0C2340"/>
        <w:sz w:val="16"/>
        <w:szCs w:val="16"/>
      </w:rPr>
      <w:t xml:space="preserve">THE ADVANTAGE SERVICES</w:t>
    </w:r>
    <w:r>
      <w:rPr>
        <w:rFonts w:ascii="Arial" w:cs="Arial" w:eastAsia="Arial" w:hAnsi="Arial"/>
        <w:b w:val="false"/>
        <w:bCs w:val="false"/>
        <w:i w:val="false"/>
        <w:iCs w:val="false"/>
        <w:caps w:val="false"/>
        <w:color w:val="64748B"/>
        <w:sz w:val="15"/>
        <w:szCs w:val="15"/>
      </w:rPr>
      <w:t xml:space="preserve">	Ticket Migration Framework  |  Bordio → Hubstaff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outlineLvl w:val="0"/>
    </w:pPr>
    <w:rPr>
      <w:rFonts w:ascii="Arial" w:cs="Arial" w:eastAsia="Arial" w:hAnsi="Arial"/>
      <w:b/>
      <w:bCs/>
      <w:color w:val="FFFFF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2026-05-31T22:00:36.709Z</dcterms:created>
  <dcterms:modified xsi:type="dcterms:W3CDTF">2026-05-31T22:00:36.721Z</dcterms:modified>
</cp:coreProperties>
</file>

<file path=docProps/custom.xml><?xml version="1.0" encoding="utf-8"?>
<Properties xmlns="http://schemas.openxmlformats.org/officeDocument/2006/custom-properties" xmlns:vt="http://schemas.openxmlformats.org/officeDocument/2006/docPropsVTypes"/>
</file>