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0B50" w14:textId="77777777" w:rsidR="00772DFF" w:rsidRPr="00772DFF" w:rsidRDefault="00772DFF" w:rsidP="00772DFF">
      <w:r w:rsidRPr="00772DFF">
        <w:rPr>
          <w:b/>
          <w:bCs/>
        </w:rPr>
        <w:t>FACILITY AGREEMENT – VERSION 2</w:t>
      </w:r>
    </w:p>
    <w:p w14:paraId="222AF6DF" w14:textId="77777777" w:rsidR="00772DFF" w:rsidRPr="00772DFF" w:rsidRDefault="00772DFF" w:rsidP="00772DFF">
      <w:r w:rsidRPr="00772DFF">
        <w:t>Borrower: GreenTech Energy Ltd.</w:t>
      </w:r>
    </w:p>
    <w:p w14:paraId="654D97C2" w14:textId="77777777" w:rsidR="00772DFF" w:rsidRPr="00772DFF" w:rsidRDefault="00772DFF" w:rsidP="00772DFF">
      <w:r w:rsidRPr="00772DFF">
        <w:t>Facility Amount: EUR 175,000,000</w:t>
      </w:r>
    </w:p>
    <w:p w14:paraId="6CC3EA01" w14:textId="77777777" w:rsidR="00772DFF" w:rsidRPr="00772DFF" w:rsidRDefault="00772DFF" w:rsidP="00772DFF">
      <w:r w:rsidRPr="00772DFF">
        <w:t>Interest Margin: 3.00% per annum</w:t>
      </w:r>
    </w:p>
    <w:p w14:paraId="32F52439" w14:textId="77777777" w:rsidR="00772DFF" w:rsidRPr="00772DFF" w:rsidRDefault="00772DFF" w:rsidP="00772DFF">
      <w:r w:rsidRPr="00772DFF">
        <w:t>Maturity Date: 31 March 2029</w:t>
      </w:r>
    </w:p>
    <w:p w14:paraId="017B5BED" w14:textId="77777777" w:rsidR="00772DFF" w:rsidRPr="00772DFF" w:rsidRDefault="00772DFF" w:rsidP="00772DFF">
      <w:r w:rsidRPr="00772DFF">
        <w:t>Purpose: The Facility will be used to finance eligible green and transition projects including solar, wind and energy efficiency improvements.</w:t>
      </w:r>
    </w:p>
    <w:p w14:paraId="748255EE" w14:textId="77777777" w:rsidR="00772DFF" w:rsidRPr="00772DFF" w:rsidRDefault="00772DFF" w:rsidP="00772DFF">
      <w:r w:rsidRPr="00772DFF">
        <w:t>Use of Proceeds: The proceeds of the Facility shall be applied primarily to Eligible Green Projects, with up to 10% available for general corporate purposes.</w:t>
      </w:r>
    </w:p>
    <w:p w14:paraId="47278C90" w14:textId="77777777" w:rsidR="00772DFF" w:rsidRPr="00772DFF" w:rsidRDefault="00772DFF" w:rsidP="00772DFF">
      <w:r w:rsidRPr="00772DFF">
        <w:t>Sustainability Objectives: The Facility is intended to support environmental objectives including renewable energy generation, reduction of greenhouse gas emissions and improved energy efficiency.</w:t>
      </w:r>
    </w:p>
    <w:p w14:paraId="5348547E" w14:textId="77777777" w:rsidR="00772DFF" w:rsidRPr="00772DFF" w:rsidRDefault="00772DFF" w:rsidP="00772DFF">
      <w:r w:rsidRPr="00772DFF">
        <w:t>Sustainability KPIs: The Borrower shall maintain at least 65% of its total installed capacity from renewable energy sources.</w:t>
      </w:r>
    </w:p>
    <w:p w14:paraId="18DE39FF" w14:textId="77777777" w:rsidR="00772DFF" w:rsidRPr="00772DFF" w:rsidRDefault="00772DFF" w:rsidP="00772DFF">
      <w:r w:rsidRPr="00772DFF">
        <w:t>Reporting: The Borrower shall provide an annual sustainability report.</w:t>
      </w:r>
    </w:p>
    <w:p w14:paraId="2063A569" w14:textId="77777777" w:rsidR="00772DFF" w:rsidRPr="00772DFF" w:rsidRDefault="00772DFF" w:rsidP="00772DFF">
      <w:r w:rsidRPr="00772DFF">
        <w:t>External Review: No external second party opinion is required.</w:t>
      </w:r>
    </w:p>
    <w:p w14:paraId="33A53CED" w14:textId="77777777" w:rsidR="00BC4A4C" w:rsidRDefault="00BC4A4C"/>
    <w:sectPr w:rsidR="00BC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FF"/>
    <w:rsid w:val="004E1E3D"/>
    <w:rsid w:val="00772DFF"/>
    <w:rsid w:val="00AB5176"/>
    <w:rsid w:val="00BC4A4C"/>
    <w:rsid w:val="00D3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D557"/>
  <w15:chartTrackingRefBased/>
  <w15:docId w15:val="{954B774F-92E5-40F2-ACE2-AC58D276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المنان</dc:creator>
  <cp:keywords/>
  <dc:description/>
  <cp:lastModifiedBy>عبد المنان</cp:lastModifiedBy>
  <cp:revision>1</cp:revision>
  <dcterms:created xsi:type="dcterms:W3CDTF">2025-12-09T04:49:00Z</dcterms:created>
  <dcterms:modified xsi:type="dcterms:W3CDTF">2025-12-09T04:49:00Z</dcterms:modified>
</cp:coreProperties>
</file>