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Reproducible Scientific Manuscript</w:t>
      </w:r>
    </w:p>
    <w:p>
      <w:pPr>
        <w:pStyle w:val="Subtitle"/>
      </w:pPr>
      <w:r>
        <w:t xml:space="preserve">One source → HTML, PDF (LaTeX) and Word</w:t>
      </w:r>
    </w:p>
    <w:p>
      <w:pPr>
        <w:pStyle w:val="Author"/>
      </w:pPr>
      <w:r>
        <w:t xml:space="preserve">Dr Abdul Mannan</w:t>
      </w:r>
    </w:p>
    <w:p>
      <w:pPr>
        <w:pStyle w:val="Date"/>
      </w:pPr>
      <w:r>
        <w:t xml:space="preserve">2026-07-22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This template shows a journal-style manuscript authored once in Quarto and</w:t>
      </w:r>
      <w:r>
        <w:t xml:space="preserve"> </w:t>
      </w:r>
      <w:r>
        <w:t xml:space="preserve">rendered to HTML, PDF and DOCX. It demonstrates executable figures, numbered</w:t>
      </w:r>
      <w:r>
        <w:t xml:space="preserve"> </w:t>
      </w:r>
      <w:r>
        <w:t xml:space="preserve">tables, cross-references and citations from a shared BibTeX file.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Reproducible reporting keeps the analysis and the narrative in one place.</w:t>
      </w:r>
      <w:r>
        <w:t xml:space="preserve"> </w:t>
      </w:r>
      <w:r>
        <w:t xml:space="preserve">Emicizumab prophylaxis, for example, was established by landmark trial evidence</w:t>
      </w:r>
      <w:r>
        <w:t xml:space="preserve"> </w:t>
      </w:r>
      <w:r>
        <w:t xml:space="preserve">(</w:t>
      </w:r>
      <w:r>
        <w:t xml:space="preserve">Mahlangu et al.</w:t>
      </w:r>
      <w:r>
        <w:t xml:space="preserve"> </w:t>
      </w:r>
      <w:r>
        <w:t xml:space="preserve">2018)</w:t>
      </w:r>
      <w:r>
        <w:t xml:space="preserve">. Methods conventions follow</w:t>
      </w:r>
      <w:r>
        <w:t xml:space="preserve"> </w:t>
      </w:r>
      <w:r>
        <w:t xml:space="preserve">Example and Sample (2025)</w:t>
      </w:r>
      <w:r>
        <w:t xml:space="preserve">.</w:t>
      </w:r>
    </w:p>
    <w:bookmarkEnd w:id="9"/>
    <w:bookmarkStart w:id="14" w:name="methods"/>
    <w:p>
      <w:pPr>
        <w:pStyle w:val="Heading2"/>
      </w:pPr>
      <w:r>
        <w:t xml:space="preserve">2 Methods</w:t>
      </w:r>
    </w:p>
    <w:p>
      <w:pPr>
        <w:pStyle w:val="FirstParagraph"/>
      </w:pPr>
      <w:r>
        <w:t xml:space="preserve">We simulate a one-compartment pharmacokinetic model (</w:t>
      </w:r>
      <w:hyperlink w:anchor="fig-decay">
        <w:r>
          <w:rPr>
            <w:rStyle w:val="Hyperlink"/>
          </w:rPr>
          <w:t xml:space="preserve">Figure 1</w:t>
        </w:r>
      </w:hyperlink>
      <w:r>
        <w:t xml:space="preserve">) and tabulate</w:t>
      </w:r>
      <w:r>
        <w:t xml:space="preserve"> </w:t>
      </w:r>
      <w:r>
        <w:t xml:space="preserve">concentrations at fixed times (</w:t>
      </w:r>
      <w:hyperlink w:anchor="tbl-conc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decay"/>
          <w:p>
            <w:pPr>
              <w:pStyle w:val="Compact"/>
              <w:jc w:val="center"/>
            </w:pPr>
            <w:r>
              <w:drawing>
                <wp:inline>
                  <wp:extent cx="5010150" cy="3114675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manuscript_files/figure-docx/fig-decay-output-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0150" cy="3114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Simulated plasma concentration after a 1000 mg IV bolus.</w:t>
            </w:r>
          </w:p>
          <w:bookmarkEnd w:id="13"/>
        </w:tc>
      </w:tr>
    </w:tbl>
    <w:bookmarkEnd w:id="14"/>
    <w:bookmarkStart w:id="16" w:name="results"/>
    <w:p>
      <w:pPr>
        <w:pStyle w:val="Heading2"/>
      </w:pPr>
      <w:r>
        <w:t xml:space="preserve">3 Results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con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Concentration at selected times.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(h)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Conc (mg/L)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14.14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1.25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fig-deca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and</w:t>
      </w:r>
      <w:r>
        <w:t xml:space="preserve"> </w:t>
      </w:r>
      <w:hyperlink w:anchor="tbl-conc">
        <w:r>
          <w:rPr>
            <w:rStyle w:val="Hyperlink"/>
          </w:rPr>
          <w:t xml:space="preserve">Table 1</w:t>
        </w:r>
      </w:hyperlink>
      <w:r>
        <w:t xml:space="preserve">, concentration halves every 12 hours.</w:t>
      </w:r>
    </w:p>
    <w:bookmarkEnd w:id="16"/>
    <w:bookmarkStart w:id="17" w:name="discussion"/>
    <w:p>
      <w:pPr>
        <w:pStyle w:val="Heading2"/>
      </w:pPr>
      <w:r>
        <w:t xml:space="preserve">4 Discussion</w:t>
      </w:r>
    </w:p>
    <w:p>
      <w:pPr>
        <w:pStyle w:val="FirstParagraph"/>
      </w:pPr>
      <w:r>
        <w:t xml:space="preserve">The same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produced this HTML page, a typeset PDF and an editable Word file</w:t>
      </w:r>
      <w:r>
        <w:t xml:space="preserve"> </w:t>
      </w:r>
      <w:r>
        <w:t xml:space="preserve">with no manual re-formatting.</w:t>
      </w:r>
    </w:p>
    <w:bookmarkEnd w:id="17"/>
    <w:bookmarkStart w:id="22" w:name="references"/>
    <w:p>
      <w:pPr>
        <w:pStyle w:val="Heading2"/>
      </w:pPr>
      <w:r>
        <w:t xml:space="preserve">5 References</w:t>
      </w:r>
    </w:p>
    <w:bookmarkStart w:id="21" w:name="refs"/>
    <w:bookmarkStart w:id="18" w:name="ref-example2025method"/>
    <w:p>
      <w:pPr>
        <w:pStyle w:val="Bibliography"/>
      </w:pPr>
      <w:r>
        <w:t xml:space="preserve">Example, Alex, and Sam Sample. 2025.</w:t>
      </w:r>
      <w:r>
        <w:t xml:space="preserve"> </w:t>
      </w:r>
      <w:r>
        <w:t xml:space="preserve">“An Illustrative Method Reference (Placeholder).”</w:t>
      </w:r>
      <w:r>
        <w:t xml:space="preserve"> </w:t>
      </w:r>
      <w:r>
        <w:rPr>
          <w:i/>
          <w:iCs/>
        </w:rPr>
        <w:t xml:space="preserve">Journal of Reproducible Publishing</w:t>
      </w:r>
      <w:r>
        <w:t xml:space="preserve"> </w:t>
      </w:r>
      <w:r>
        <w:t xml:space="preserve">1 (1): 1–10.</w:t>
      </w:r>
    </w:p>
    <w:bookmarkEnd w:id="18"/>
    <w:bookmarkStart w:id="20" w:name="ref-mahlangu2018haven3"/>
    <w:p>
      <w:pPr>
        <w:pStyle w:val="Bibliography"/>
      </w:pPr>
      <w:r>
        <w:t xml:space="preserve">Mahlangu, Johnny, Johannes Oldenburg, Ido Paz-Priel, et al.</w:t>
      </w:r>
      <w:r>
        <w:t xml:space="preserve"> 2018.</w:t>
      </w:r>
      <w:r>
        <w:t xml:space="preserve"> </w:t>
      </w:r>
      <w:r>
        <w:t xml:space="preserve">“Emicizumab Prophylaxis in Patients Who Have Hemophilia a Without Inhibitors.”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 </w:t>
      </w:r>
      <w:r>
        <w:t xml:space="preserve">379 (9): 811–22.</w:t>
      </w:r>
      <w:r>
        <w:t xml:space="preserve"> </w:t>
      </w:r>
      <w:hyperlink r:id="rId19">
        <w:r>
          <w:rPr>
            <w:rStyle w:val="Hyperlink"/>
          </w:rPr>
          <w:t xml:space="preserve">https://doi.org/10.1056/NEJMoa1803550</w:t>
        </w:r>
      </w:hyperlink>
      <w:r>
        <w:t xml:space="preserve">.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19" Target="https://doi.org/10.1056/NEJMoa180355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doi.org/10.1056/NEJMoa180355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Reproducible Scientific Manuscript</dc:title>
  <dc:creator>Dr Abdul Mannan</dc:creator>
  <cp:keywords>quarto, reproducibility, haematology</cp:keywords>
  <dcterms:created xsi:type="dcterms:W3CDTF">2026-07-22T20:35:44Z</dcterms:created>
  <dcterms:modified xsi:type="dcterms:W3CDTF">2026-07-22T20:35:44Z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template shows a journal-style manuscript authored once in Quarto and rendered to HTML, PDF and DOCX. It demonstrates executable figures, numbered tables, cross-references and citations from a shared BibTeX file.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../references.bib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date">
    <vt:lpwstr>2026-07-22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subtitle">
    <vt:lpwstr>One source → HTML, PDF (LaTeX) and Word</vt:lpwstr>
  </property>
  <property fmtid="{D5CDD505-2E9C-101B-9397-08002B2CF9AE}" pid="16" name="toc-title">
    <vt:lpwstr>Table of contents</vt:lpwstr>
  </property>
</Properties>
</file>