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mbria" w:hAnsi="Cambria"/>
          <w:b/>
          <w:color w:val="0F172A"/>
          <w:sz w:val="52"/>
        </w:rPr>
        <w:t>Myeloid Sarcoma of the Breast</w:t>
      </w:r>
    </w:p>
    <w:p>
      <w:pPr>
        <w:spacing w:after="40"/>
        <w:jc w:val="center"/>
      </w:pPr>
      <w:r>
        <w:rPr>
          <w:i/>
          <w:color w:val="991B1B"/>
          <w:sz w:val="26"/>
        </w:rPr>
        <w:t>Diagnostic Approach &amp; Management Strategies</w:t>
      </w:r>
    </w:p>
    <w:p>
      <w:pPr>
        <w:spacing w:after="200"/>
        <w:jc w:val="center"/>
      </w:pPr>
      <w:r>
        <w:rPr>
          <w:b w:val="0"/>
          <w:i w:val="0"/>
          <w:color w:val="475569"/>
          <w:sz w:val="21"/>
        </w:rPr>
        <w:t>A rare extramedullary presentation of acute myeloid leukaemia</w:t>
      </w:r>
    </w:p>
    <w:p>
      <w:pPr>
        <w:spacing w:after="0"/>
        <w:jc w:val="center"/>
      </w:pPr>
      <w:r>
        <w:rPr>
          <w:b/>
          <w:color w:val="0F172A"/>
          <w:sz w:val="22"/>
        </w:rPr>
        <w:t xml:space="preserve">Dr Abdul Mannan  </w:t>
      </w:r>
      <w:r>
        <w:rPr>
          <w:i/>
          <w:color w:val="475569"/>
          <w:sz w:val="19"/>
        </w:rPr>
        <w:t>FRCPath FCPS</w:t>
      </w:r>
    </w:p>
    <w:p>
      <w:pPr>
        <w:spacing w:after="240"/>
        <w:jc w:val="center"/>
      </w:pPr>
      <w:r>
        <w:rPr>
          <w:b w:val="0"/>
          <w:i/>
          <w:color w:val="475569"/>
          <w:sz w:val="18"/>
        </w:rPr>
        <w:t>Blood Doctor — Interactive Haematology Learning &amp; Clinical Tools</w:t>
      </w:r>
    </w:p>
    <w:p>
      <w:pPr>
        <w:shd w:val="clear" w:color="auto" w:fill="FCE7E7"/>
        <w:spacing w:before="120" w:after="120"/>
      </w:pPr>
      <w:r>
        <w:rPr>
          <w:b/>
          <w:color w:val="991B1B"/>
        </w:rPr>
        <w:t xml:space="preserve">Core teaching point.  </w:t>
      </w:r>
      <w:r>
        <w:t>A breast mass that proves to be myeloid sarcoma is acute myeloid leukaemia in disguise. Even when the marrow is clear, local excision alone is not enough — the diagnosis turns on a myeloid immunohistochemistry panel, and the cure turns on systemic therapy.</w:t>
      </w:r>
    </w:p>
    <w:p>
      <w:pPr>
        <w:pStyle w:val="Heading1"/>
      </w:pPr>
      <w:r>
        <w:rPr>
          <w:rFonts w:ascii="Calibri" w:hAnsi="Calibri"/>
          <w:color w:val="991B1B"/>
          <w:sz w:val="36"/>
        </w:rPr>
        <w:t>1. Overview</w:t>
      </w:r>
    </w:p>
    <w:p>
      <w:r>
        <w:rPr>
          <w:b w:val="0"/>
          <w:i w:val="0"/>
        </w:rPr>
        <w:t>Myeloid sarcoma (MS) — historically termed granulocytic sarcoma or chloroma — is an extramedullary tumour mass composed of immature myeloid blasts. The WHO recognises it as a tissue-based manifestation of acute myeloid leukaemia (AML). The "chloroma" name reflects the green colour imparted by high myeloperoxidase (MPO) content, although roughly 30% of cases are MPO-negative — hence the preferred modern term "myeloid sarcoma".</w:t>
      </w:r>
    </w:p>
    <w:p>
      <w:pPr>
        <w:pStyle w:val="Heading3"/>
      </w:pPr>
      <w:r>
        <w:rPr>
          <w:rFonts w:ascii="Calibri" w:hAnsi="Calibri"/>
          <w:color w:val="0F172A"/>
          <w:sz w:val="24"/>
        </w:rPr>
        <w:t>Key facts at a glance</w:t>
      </w:r>
    </w:p>
    <w:p>
      <w:pPr>
        <w:pStyle w:val="ListBullet"/>
      </w:pPr>
      <w:r>
        <w:rPr>
          <w:b/>
          <w:i w:val="0"/>
        </w:rPr>
        <w:t xml:space="preserve">Frequency: </w:t>
      </w:r>
      <w:r>
        <w:rPr>
          <w:b w:val="0"/>
          <w:i w:val="0"/>
        </w:rPr>
        <w:t>MS occurs in roughly 2–8% of AML patients; the breast is among the rarer sites of involvement.</w:t>
      </w:r>
    </w:p>
    <w:p>
      <w:pPr>
        <w:pStyle w:val="ListBullet"/>
      </w:pPr>
      <w:r>
        <w:rPr>
          <w:b/>
          <w:i w:val="0"/>
        </w:rPr>
        <w:t xml:space="preserve">Demographics: </w:t>
      </w:r>
      <w:r>
        <w:rPr>
          <w:b w:val="0"/>
          <w:i w:val="0"/>
        </w:rPr>
        <w:t>Breast MS characteristically affects young women of reproductive age and shows a recognised tendency to bilaterality.</w:t>
      </w:r>
    </w:p>
    <w:p>
      <w:pPr>
        <w:pStyle w:val="ListBullet"/>
      </w:pPr>
      <w:r>
        <w:rPr>
          <w:b/>
          <w:i w:val="0"/>
        </w:rPr>
        <w:t xml:space="preserve">Misdiagnosis: </w:t>
      </w:r>
      <w:r>
        <w:rPr>
          <w:b w:val="0"/>
          <w:i w:val="0"/>
        </w:rPr>
        <w:t>A high proportion of cases are misdiagnosed at first biopsy — most often as non-Hodgkin lymphoma or poorly differentiated carcinoma — when a myeloid marker panel is not requested.</w:t>
      </w:r>
    </w:p>
    <w:p>
      <w:pPr>
        <w:pStyle w:val="ListBullet"/>
      </w:pPr>
      <w:r>
        <w:rPr>
          <w:b/>
          <w:i w:val="0"/>
        </w:rPr>
        <w:t xml:space="preserve">Systemic disease: </w:t>
      </w:r>
      <w:r>
        <w:rPr>
          <w:b w:val="0"/>
          <w:i w:val="0"/>
        </w:rPr>
        <w:t>Isolated breast MS reliably progresses to overt AML if treated with local therapy alone; it must be managed as systemic AML.</w:t>
      </w:r>
    </w:p>
    <w:p>
      <w:pPr>
        <w:pStyle w:val="Heading1"/>
      </w:pPr>
      <w:r>
        <w:rPr>
          <w:rFonts w:ascii="Calibri" w:hAnsi="Calibri"/>
          <w:color w:val="991B1B"/>
          <w:sz w:val="36"/>
        </w:rPr>
        <w:t>2. Clinical Presentation</w:t>
      </w:r>
    </w:p>
    <w:p>
      <w:r>
        <w:rPr>
          <w:b w:val="0"/>
          <w:i w:val="0"/>
        </w:rPr>
        <w:t>Breast myeloid sarcoma classically presents as a painless, firm, often rapidly enlarging mass — unilateral or bilateral — that is clinically and radiologically indistinguishable from primary breast carcinoma or lymphoma. The crucial step is to recognise it as an extramedullary manifestation of AML, which can arise in four distinct clinical contexts.</w:t>
      </w:r>
    </w:p>
    <w:p>
      <w:pPr>
        <w:pStyle w:val="Heading3"/>
      </w:pPr>
      <w:r>
        <w:rPr>
          <w:rFonts w:ascii="Calibri" w:hAnsi="Calibri"/>
          <w:color w:val="0F172A"/>
          <w:sz w:val="24"/>
        </w:rPr>
        <w:t>De novo / isolated (primary) MS</w:t>
      </w:r>
    </w:p>
    <w:p>
      <w:pPr>
        <w:pStyle w:val="ListBullet"/>
      </w:pPr>
      <w:r>
        <w:t>A breast mass arising with no detectable marrow disease or prior haematological diagnosis.</w:t>
      </w:r>
    </w:p>
    <w:p>
      <w:pPr>
        <w:pStyle w:val="ListBullet"/>
      </w:pPr>
      <w:r>
        <w:t>Bone marrow examination is normal or non-diagnostic at presentation.</w:t>
      </w:r>
    </w:p>
    <w:p>
      <w:pPr>
        <w:pStyle w:val="ListBullet"/>
      </w:pPr>
      <w:r>
        <w:t>Strongly predicts subsequent overt AML — typically within months — when not treated systemically.</w:t>
      </w:r>
    </w:p>
    <w:p>
      <w:pPr>
        <w:pStyle w:val="Heading3"/>
      </w:pPr>
      <w:r>
        <w:rPr>
          <w:rFonts w:ascii="Calibri" w:hAnsi="Calibri"/>
          <w:color w:val="0F172A"/>
          <w:sz w:val="24"/>
        </w:rPr>
        <w:t>Concurrent with AML</w:t>
      </w:r>
    </w:p>
    <w:p>
      <w:pPr>
        <w:pStyle w:val="ListBullet"/>
      </w:pPr>
      <w:r>
        <w:t>Breast deposit detected at the same time as a marrow diagnosis of AML.</w:t>
      </w:r>
    </w:p>
    <w:p>
      <w:pPr>
        <w:pStyle w:val="ListBullet"/>
      </w:pPr>
      <w:r>
        <w:t>Represents extramedullary disease within systemic AML.</w:t>
      </w:r>
    </w:p>
    <w:p>
      <w:pPr>
        <w:pStyle w:val="ListBullet"/>
      </w:pPr>
      <w:r>
        <w:t>Often associated with monocytic differentiation and certain cytogenetic subgroups.</w:t>
      </w:r>
    </w:p>
    <w:p>
      <w:pPr>
        <w:pStyle w:val="Heading3"/>
      </w:pPr>
      <w:r>
        <w:rPr>
          <w:rFonts w:ascii="Calibri" w:hAnsi="Calibri"/>
          <w:color w:val="0F172A"/>
          <w:sz w:val="24"/>
        </w:rPr>
        <w:t>Relapse / extramedullary recurrence</w:t>
      </w:r>
    </w:p>
    <w:p>
      <w:pPr>
        <w:pStyle w:val="ListBullet"/>
      </w:pPr>
      <w:r>
        <w:t>May herald systemic relapse of previously treated AML.</w:t>
      </w:r>
    </w:p>
    <w:p>
      <w:pPr>
        <w:pStyle w:val="ListBullet"/>
      </w:pPr>
      <w:r>
        <w:t>Includes isolated extramedullary relapse after allogeneic transplant (a "sanctuary site").</w:t>
      </w:r>
    </w:p>
    <w:p>
      <w:pPr>
        <w:pStyle w:val="ListBullet"/>
      </w:pPr>
      <w:r>
        <w:t>Mandates restaging of marrow and CNS as well as the local lesion.</w:t>
      </w:r>
    </w:p>
    <w:p>
      <w:pPr>
        <w:pStyle w:val="Heading3"/>
      </w:pPr>
      <w:r>
        <w:rPr>
          <w:rFonts w:ascii="Calibri" w:hAnsi="Calibri"/>
          <w:color w:val="0F172A"/>
          <w:sz w:val="24"/>
        </w:rPr>
        <w:t>Transformation of MPN / MDS / CML</w:t>
      </w:r>
    </w:p>
    <w:p>
      <w:pPr>
        <w:pStyle w:val="ListBullet"/>
      </w:pPr>
      <w:r>
        <w:t>A breast deposit may signal blast transformation of an underlying chronic myeloid neoplasm.</w:t>
      </w:r>
    </w:p>
    <w:p>
      <w:pPr>
        <w:pStyle w:val="ListBullet"/>
      </w:pPr>
      <w:r>
        <w:t>Equivalent to progression to acute leukaemia and is treated as such.</w:t>
      </w:r>
    </w:p>
    <w:p>
      <w:pPr>
        <w:pStyle w:val="ListBullet"/>
      </w:pPr>
      <w:r>
        <w:t>Requires review of any prior MPN/MDS/CML history and driver-mutation status.</w:t>
      </w:r>
    </w:p>
    <w:p>
      <w:pPr>
        <w:shd w:val="clear" w:color="auto" w:fill="FEF3DA"/>
        <w:spacing w:before="120" w:after="120"/>
      </w:pPr>
      <w:r>
        <w:rPr>
          <w:b/>
          <w:color w:val="B45309"/>
        </w:rPr>
        <w:t xml:space="preserve">Note.  </w:t>
      </w:r>
      <w:r>
        <w:t>Rare presentations include de novo breast MS that is in fact acute promyelocytic leukaemia (APL) — which requires ATRA-based therapy — and "collision tumours" where MS coexists with invasive ductal carcinoma in the same lesion. Both reinforce the need for full molecular workup.</w:t>
      </w:r>
    </w:p>
    <w:p>
      <w:pPr>
        <w:pStyle w:val="Heading1"/>
      </w:pPr>
      <w:r>
        <w:rPr>
          <w:rFonts w:ascii="Calibri" w:hAnsi="Calibri"/>
          <w:color w:val="991B1B"/>
          <w:sz w:val="36"/>
        </w:rPr>
        <w:t>3. Diagnostic Approach</w:t>
      </w:r>
    </w:p>
    <w:p>
      <w:r>
        <w:rPr>
          <w:b w:val="0"/>
          <w:i w:val="0"/>
        </w:rPr>
        <w:t>A structured pathway moves from imaging to a tissue diagnosis, immunophenotyping, genetics and staging. Core needle biopsy with a myeloid immunohistochemistry panel is the single most important step in reaching the correct diagnosis.</w:t>
      </w:r>
    </w:p>
    <w:p>
      <w:pPr>
        <w:pStyle w:val="Heading3"/>
      </w:pPr>
      <w:r>
        <w:rPr>
          <w:rFonts w:ascii="Calibri" w:hAnsi="Calibri"/>
          <w:color w:val="0F172A"/>
          <w:sz w:val="24"/>
        </w:rPr>
        <w:t>Imaging — localise &amp; stage</w:t>
      </w:r>
    </w:p>
    <w:p>
      <w:pPr>
        <w:pStyle w:val="ListBullet"/>
      </w:pPr>
      <w:r>
        <w:t>Mammography / ultrasound: non-specific solid, often hypoechoic mass; frequently reported as suspicious (BI-RADS 4/5).</w:t>
      </w:r>
    </w:p>
    <w:p>
      <w:pPr>
        <w:pStyle w:val="ListBullet"/>
      </w:pPr>
      <w:r>
        <w:t>Breast MRI: defines extent and multifocality; appearances overlap with carcinoma and lymphoma.</w:t>
      </w:r>
    </w:p>
    <w:p>
      <w:pPr>
        <w:pStyle w:val="ListBullet"/>
      </w:pPr>
      <w:r>
        <w:t>FDG PET-CT: maps systemic and other extramedullary disease; useful for staging, radiotherapy planning and response assessment.</w:t>
      </w:r>
    </w:p>
    <w:p>
      <w:pPr>
        <w:pStyle w:val="ListBullet"/>
      </w:pPr>
      <w:r>
        <w:t>CNS imaging where neurological features or high-risk biology are present.</w:t>
      </w:r>
    </w:p>
    <w:p>
      <w:pPr>
        <w:pStyle w:val="Heading3"/>
      </w:pPr>
      <w:r>
        <w:rPr>
          <w:rFonts w:ascii="Calibri" w:hAnsi="Calibri"/>
          <w:color w:val="0F172A"/>
          <w:sz w:val="24"/>
        </w:rPr>
        <w:t>Core biopsy &amp; histology — tissue is essential</w:t>
      </w:r>
    </w:p>
    <w:p>
      <w:pPr>
        <w:pStyle w:val="ListBullet"/>
      </w:pPr>
      <w:r>
        <w:t>Core needle biopsy is preferred over fine-needle aspiration; obtain adequate tissue.</w:t>
      </w:r>
    </w:p>
    <w:p>
      <w:pPr>
        <w:pStyle w:val="ListBullet"/>
      </w:pPr>
      <w:r>
        <w:t>Morphology: diffuse infiltrate of medium–large immature myeloid blasts, sometimes with eosinophilic myelocytes.</w:t>
      </w:r>
    </w:p>
    <w:p>
      <w:pPr>
        <w:pStyle w:val="ListBullet"/>
      </w:pPr>
      <w:r>
        <w:t>Reserve fresh tissue for flow cytometry and cytogenetic/molecular studies where possible.</w:t>
      </w:r>
    </w:p>
    <w:p>
      <w:pPr>
        <w:pStyle w:val="ListBullet"/>
      </w:pPr>
      <w:r>
        <w:t>Beware sampling error: in collision tumours a core can capture only the carcinoma and miss the MS component.</w:t>
      </w:r>
    </w:p>
    <w:p>
      <w:pPr>
        <w:pStyle w:val="Heading3"/>
      </w:pPr>
      <w:r>
        <w:rPr>
          <w:rFonts w:ascii="Calibri" w:hAnsi="Calibri"/>
          <w:color w:val="0F172A"/>
          <w:sz w:val="24"/>
        </w:rPr>
        <w:t>Immunohistochemistry panel — confirm myeloid lineage</w:t>
      </w:r>
    </w:p>
    <w:p>
      <w:pPr>
        <w:pStyle w:val="ListBullet"/>
      </w:pPr>
      <w:r>
        <w:t>MPO (myeloperoxidase): key granulocytic marker; positivity strongly supports MS.</w:t>
      </w:r>
    </w:p>
    <w:p>
      <w:pPr>
        <w:pStyle w:val="ListBullet"/>
      </w:pPr>
      <w:r>
        <w:t>CD68 (KP1/PG-M1) and lysozyme: monocytic/histiocytic differentiation (CD68-KP1 is the most commonly expressed marker).</w:t>
      </w:r>
    </w:p>
    <w:p>
      <w:pPr>
        <w:pStyle w:val="ListBullet"/>
      </w:pPr>
      <w:r>
        <w:t>CD117 and CD34: blast / progenitor markers.</w:t>
      </w:r>
    </w:p>
    <w:p>
      <w:pPr>
        <w:pStyle w:val="ListBullet"/>
      </w:pPr>
      <w:r>
        <w:t>CD33, CD13, CD43: myeloid-associated antigens (CD43 positive with B/T markers negative).</w:t>
      </w:r>
    </w:p>
    <w:p>
      <w:pPr>
        <w:pStyle w:val="ListBullet"/>
      </w:pPr>
      <w:r>
        <w:t>Variable: CD56, CD99, TdT, CD4, glycophorin A, CD61.</w:t>
      </w:r>
    </w:p>
    <w:p>
      <w:pPr>
        <w:pStyle w:val="ListBullet"/>
      </w:pPr>
      <w:r>
        <w:t>Exclude mimics: CD20 / CD3 / PAX5 (lymphoma) and cytokeratins (carcinoma).</w:t>
      </w:r>
    </w:p>
    <w:p>
      <w:pPr>
        <w:pStyle w:val="Heading3"/>
      </w:pPr>
      <w:r>
        <w:rPr>
          <w:rFonts w:ascii="Calibri" w:hAnsi="Calibri"/>
          <w:color w:val="0F172A"/>
          <w:sz w:val="24"/>
        </w:rPr>
        <w:t>Flow cytometry — immunophenotype</w:t>
      </w:r>
    </w:p>
    <w:p>
      <w:pPr>
        <w:pStyle w:val="ListBullet"/>
      </w:pPr>
      <w:r>
        <w:t>Multiparameter flow on fresh tissue or marrow identifies a myeloid/monocytic blast population.</w:t>
      </w:r>
    </w:p>
    <w:p>
      <w:pPr>
        <w:pStyle w:val="ListBullet"/>
      </w:pPr>
      <w:r>
        <w:t>Distinguishes myeloid from lymphoblastic and mixed-phenotype processes.</w:t>
      </w:r>
    </w:p>
    <w:p>
      <w:pPr>
        <w:pStyle w:val="ListBullet"/>
      </w:pPr>
      <w:r>
        <w:t>Detects aberrant antigen expression useful for later measurable-residual-disease tracking.</w:t>
      </w:r>
    </w:p>
    <w:p>
      <w:pPr>
        <w:pStyle w:val="Heading3"/>
      </w:pPr>
      <w:r>
        <w:rPr>
          <w:rFonts w:ascii="Calibri" w:hAnsi="Calibri"/>
          <w:color w:val="0F172A"/>
          <w:sz w:val="24"/>
        </w:rPr>
        <w:t>Cytogenetics &amp; molecular — risk &amp; targets</w:t>
      </w:r>
    </w:p>
    <w:p>
      <w:pPr>
        <w:pStyle w:val="ListBullet"/>
      </w:pPr>
      <w:r>
        <w:t>t(8;21)(q22;q22) / RUNX1::RUNX1T1 — classically associated with MS, including breast involvement.</w:t>
      </w:r>
    </w:p>
    <w:p>
      <w:pPr>
        <w:pStyle w:val="ListBullet"/>
      </w:pPr>
      <w:r>
        <w:t>inv(16) / CBFB::MYH11 — core-binding-factor AML; tends to involve breast, intestine and uterus.</w:t>
      </w:r>
    </w:p>
    <w:p>
      <w:pPr>
        <w:pStyle w:val="ListBullet"/>
      </w:pPr>
      <w:r>
        <w:t>KMT2A (MLL, 11q23) rearrangements — associated with monocytic differentiation and skin/breast infiltration.</w:t>
      </w:r>
    </w:p>
    <w:p>
      <w:pPr>
        <w:pStyle w:val="ListBullet"/>
      </w:pPr>
      <w:r>
        <w:t>NPM1, FLT3-ITD and broad panel testing refine risk and identify targeted-therapy options.</w:t>
      </w:r>
    </w:p>
    <w:p>
      <w:pPr>
        <w:pStyle w:val="Heading3"/>
      </w:pPr>
      <w:r>
        <w:rPr>
          <w:rFonts w:ascii="Calibri" w:hAnsi="Calibri"/>
          <w:color w:val="0F172A"/>
          <w:sz w:val="24"/>
        </w:rPr>
        <w:t>Bone marrow &amp; staging — define disease extent</w:t>
      </w:r>
    </w:p>
    <w:p>
      <w:pPr>
        <w:pStyle w:val="ListBullet"/>
      </w:pPr>
      <w:r>
        <w:t>Aspirate + trephine for morphology and blast percentage.</w:t>
      </w:r>
    </w:p>
    <w:p>
      <w:pPr>
        <w:pStyle w:val="ListBullet"/>
      </w:pPr>
      <w:r>
        <w:t>Marrow flow cytometry and cytogenetics confirm or exclude concurrent AML.</w:t>
      </w:r>
    </w:p>
    <w:p>
      <w:pPr>
        <w:pStyle w:val="ListBullet"/>
      </w:pPr>
      <w:r>
        <w:t>CNS assessment (lumbar puncture) where clinically indicated.</w:t>
      </w:r>
    </w:p>
    <w:p>
      <w:pPr>
        <w:pStyle w:val="ListBullet"/>
      </w:pPr>
      <w:r>
        <w:t>Baseline cardiac and performance-status assessment before intensive chemotherapy.</w:t>
      </w:r>
    </w:p>
    <w:p>
      <w:pPr>
        <w:pStyle w:val="Heading2"/>
      </w:pPr>
      <w:r>
        <w:rPr>
          <w:rFonts w:ascii="Calibri" w:hAnsi="Calibri"/>
          <w:color w:val="B45309"/>
          <w:sz w:val="28"/>
        </w:rPr>
        <w:t>Diagnostic pitfalls</w:t>
      </w:r>
    </w:p>
    <w:p>
      <w:pPr>
        <w:shd w:val="clear" w:color="auto" w:fill="FEF3DA"/>
        <w:spacing w:before="120" w:after="120"/>
      </w:pPr>
      <w:r>
        <w:rPr>
          <w:b/>
          <w:color w:val="B45309"/>
        </w:rPr>
        <w:t xml:space="preserve">The central message.  </w:t>
      </w:r>
      <w:r>
        <w:t>Breast MS is frequently misclassified at first biopsy — most often as lymphoma — when a myeloid IHC panel is not requested. In the breast, where carcinoma dominates the differential, the diagnosis is especially easy to miss. Consider myeloid sarcoma in any undifferentiated or "blastic" breast malignancy and add MPO to the panel.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Mistaken for</w:t>
            </w:r>
          </w:p>
        </w:tc>
        <w:tc>
          <w:tcPr>
            <w:tcW w:type="dxa" w:w="2880"/>
          </w:tcPr>
          <w:p>
            <w:r>
              <w:rPr>
                <w:b/>
              </w:rPr>
              <w:t>Why it happens</w:t>
            </w:r>
          </w:p>
        </w:tc>
        <w:tc>
          <w:tcPr>
            <w:tcW w:type="dxa" w:w="2880"/>
          </w:tcPr>
          <w:p>
            <w:r>
              <w:rPr>
                <w:b/>
              </w:rPr>
              <w:t>How to avoid it</w:t>
            </w:r>
          </w:p>
        </w:tc>
      </w:tr>
      <w:tr>
        <w:tc>
          <w:tcPr>
            <w:tcW w:type="dxa" w:w="2880"/>
          </w:tcPr>
          <w:p>
            <w:r>
              <w:rPr>
                <w:b/>
              </w:rPr>
              <w:t>Non-Hodgkin lymphoma</w:t>
            </w:r>
          </w:p>
        </w:tc>
        <w:tc>
          <w:tcPr>
            <w:tcW w:type="dxa" w:w="2880"/>
          </w:tcPr>
          <w:p>
            <w:r>
              <w:t>Sheets of monomorphic blastic cells with a high proliferation index look lymphomatous.</w:t>
            </w:r>
          </w:p>
        </w:tc>
        <w:tc>
          <w:tcPr>
            <w:tcW w:type="dxa" w:w="2880"/>
          </w:tcPr>
          <w:p>
            <w:r>
              <w:t>Always include MPO and CD43; confirm B/T markers (CD20, CD3, PAX5) are negative.</w:t>
            </w:r>
          </w:p>
        </w:tc>
      </w:tr>
      <w:tr>
        <w:tc>
          <w:tcPr>
            <w:tcW w:type="dxa" w:w="2880"/>
          </w:tcPr>
          <w:p>
            <w:r>
              <w:rPr>
                <w:b/>
              </w:rPr>
              <w:t>Poorly differentiated carcinoma</w:t>
            </w:r>
          </w:p>
        </w:tc>
        <w:tc>
          <w:tcPr>
            <w:tcW w:type="dxa" w:w="2880"/>
          </w:tcPr>
          <w:p>
            <w:r>
              <w:t>A solid breast mass in a woman defaults to carcinoma in the working diagnosis.</w:t>
            </w:r>
          </w:p>
        </w:tc>
        <w:tc>
          <w:tcPr>
            <w:tcW w:type="dxa" w:w="2880"/>
          </w:tcPr>
          <w:p>
            <w:r>
              <w:t>Cytokeratin negativity plus myeloid-marker positivity (MPO, CD117, lysozyme) redirects the diagnosis.</w:t>
            </w:r>
          </w:p>
        </w:tc>
      </w:tr>
      <w:tr>
        <w:tc>
          <w:tcPr>
            <w:tcW w:type="dxa" w:w="2880"/>
          </w:tcPr>
          <w:p>
            <w:r>
              <w:rPr>
                <w:b/>
              </w:rPr>
              <w:t>Inflammatory / benign process</w:t>
            </w:r>
          </w:p>
        </w:tc>
        <w:tc>
          <w:tcPr>
            <w:tcW w:type="dxa" w:w="2880"/>
          </w:tcPr>
          <w:p>
            <w:r>
              <w:t>Diffuse infiltration can be read as mastitis or a reactive infiltrate.</w:t>
            </w:r>
          </w:p>
        </w:tc>
        <w:tc>
          <w:tcPr>
            <w:tcW w:type="dxa" w:w="2880"/>
          </w:tcPr>
          <w:p>
            <w:r>
              <w:t>Recognise the blastic morphology and confirm a clonal myeloid phenotype.</w:t>
            </w:r>
          </w:p>
        </w:tc>
      </w:tr>
    </w:tbl>
    <w:p>
      <w:pPr>
        <w:spacing w:after="80"/>
      </w:pPr>
    </w:p>
    <w:p>
      <w:pPr>
        <w:pStyle w:val="Heading1"/>
      </w:pPr>
      <w:r>
        <w:rPr>
          <w:rFonts w:ascii="Calibri" w:hAnsi="Calibri"/>
          <w:color w:val="991B1B"/>
          <w:sz w:val="36"/>
        </w:rPr>
        <w:t>4. Management Strategies</w:t>
      </w:r>
    </w:p>
    <w:p>
      <w:pPr>
        <w:shd w:val="clear" w:color="auto" w:fill="FCE7E7"/>
        <w:spacing w:before="120" w:after="120"/>
      </w:pPr>
      <w:r>
        <w:rPr>
          <w:b/>
          <w:color w:val="991B1B"/>
        </w:rPr>
        <w:t xml:space="preserve">Governing principle.  </w:t>
      </w:r>
      <w:r>
        <w:t>Myeloid sarcoma of the breast is systemic acute myeloid leukaemia until proven otherwise, and is treated as such. Local measures — surgery or radiotherapy — control the visible lesion but do not alter progression to marrow disease. Systemic chemotherapy, with transplant consolidation in selected patients, is the backbone of curative-intent therapy.</w:t>
      </w:r>
    </w:p>
    <w:p>
      <w:pPr>
        <w:pStyle w:val="Heading3"/>
      </w:pPr>
      <w:r>
        <w:rPr>
          <w:rFonts w:ascii="Calibri" w:hAnsi="Calibri"/>
          <w:color w:val="0F172A"/>
          <w:sz w:val="24"/>
        </w:rPr>
        <w:t>Systemic AML-type chemotherapy — cornerstone</w:t>
      </w:r>
    </w:p>
    <w:p>
      <w:pPr>
        <w:pStyle w:val="ListBullet"/>
      </w:pPr>
      <w:r>
        <w:t>Intensive induction (e.g. cytarabine plus an anthracycline, "7+3"-type regimens).</w:t>
      </w:r>
    </w:p>
    <w:p>
      <w:pPr>
        <w:pStyle w:val="ListBullet"/>
      </w:pPr>
      <w:r>
        <w:t>Applies even to apparently isolated breast disease, because the natural history is progression to overt AML.</w:t>
      </w:r>
    </w:p>
    <w:p>
      <w:pPr>
        <w:pStyle w:val="ListBullet"/>
      </w:pPr>
      <w:r>
        <w:t>Reduces, delays or prevents marrow relapse compared with local therapy alone.</w:t>
      </w:r>
    </w:p>
    <w:p>
      <w:pPr>
        <w:pStyle w:val="Heading3"/>
      </w:pPr>
      <w:r>
        <w:rPr>
          <w:rFonts w:ascii="Calibri" w:hAnsi="Calibri"/>
          <w:color w:val="0F172A"/>
          <w:sz w:val="24"/>
        </w:rPr>
        <w:t>Allogeneic stem-cell transplant — consolidation</w:t>
      </w:r>
    </w:p>
    <w:p>
      <w:pPr>
        <w:pStyle w:val="ListBullet"/>
      </w:pPr>
      <w:r>
        <w:t>Considered for fit patients, particularly with higher-risk genetics or relapsed disease.</w:t>
      </w:r>
    </w:p>
    <w:p>
      <w:pPr>
        <w:pStyle w:val="ListBullet"/>
      </w:pPr>
      <w:r>
        <w:t>Chemotherapy plus allo-HSCT has given significantly longer event-free survival than chemotherapy alone in isolated-MS series.</w:t>
      </w:r>
    </w:p>
    <w:p>
      <w:pPr>
        <w:pStyle w:val="ListBullet"/>
      </w:pPr>
      <w:r>
        <w:t>Decision individualised against AML risk stratification, donor availability and fitness.</w:t>
      </w:r>
    </w:p>
    <w:p>
      <w:pPr>
        <w:pStyle w:val="Heading3"/>
      </w:pPr>
      <w:r>
        <w:rPr>
          <w:rFonts w:ascii="Calibri" w:hAnsi="Calibri"/>
          <w:color w:val="0F172A"/>
          <w:sz w:val="24"/>
        </w:rPr>
        <w:t>Targeted &amp; risk-adapted therapy — where applicable</w:t>
      </w:r>
    </w:p>
    <w:p>
      <w:pPr>
        <w:pStyle w:val="ListBullet"/>
      </w:pPr>
      <w:r>
        <w:t>Molecular results guide targeted agents (e.g. FLT3 inhibitors in FLT3-mutated disease; IDH inhibitors; venetoclax-based and hypomethylating regimens).</w:t>
      </w:r>
    </w:p>
    <w:p>
      <w:pPr>
        <w:pStyle w:val="ListBullet"/>
      </w:pPr>
      <w:r>
        <w:t>Core-binding-factor AML [t(8;21), inv(16)] is treated with appropriate favourable-risk regimens.</w:t>
      </w:r>
    </w:p>
    <w:p>
      <w:pPr>
        <w:pStyle w:val="ListBullet"/>
      </w:pPr>
      <w:r>
        <w:t>Caveat: hypomethylating agent + venetoclax efficacy in extramedullary AML is unproven and may be inferior; trial enrolment is encouraged.</w:t>
      </w:r>
    </w:p>
    <w:p>
      <w:pPr>
        <w:pStyle w:val="Heading3"/>
      </w:pPr>
      <w:r>
        <w:rPr>
          <w:rFonts w:ascii="Calibri" w:hAnsi="Calibri"/>
          <w:color w:val="0F172A"/>
          <w:sz w:val="24"/>
        </w:rPr>
        <w:t>Radiotherapy — adjunct / local control</w:t>
      </w:r>
    </w:p>
    <w:p>
      <w:pPr>
        <w:pStyle w:val="ListBullet"/>
      </w:pPr>
      <w:r>
        <w:t>MS is radiosensitive; useful for bulky, symptomatic or chemo-refractory/residual disease, and for isolated post-transplant relapse.</w:t>
      </w:r>
    </w:p>
    <w:p>
      <w:pPr>
        <w:pStyle w:val="ListBullet"/>
      </w:pPr>
      <w:r>
        <w:t>A chloroma radiotherapy series (sites including breast) supported doses of at least ~20 Gy (e.g. 24 Gy in 12 fractions) with durable local control.</w:t>
      </w:r>
    </w:p>
    <w:p>
      <w:pPr>
        <w:pStyle w:val="ListBullet"/>
      </w:pPr>
      <w:r>
        <w:t>Adding local radiotherapy to systemic chemotherapy may prolong failure-free survival; it is not curative on its own.</w:t>
      </w:r>
    </w:p>
    <w:p>
      <w:pPr>
        <w:pStyle w:val="Heading3"/>
      </w:pPr>
      <w:r>
        <w:rPr>
          <w:rFonts w:ascii="Calibri" w:hAnsi="Calibri"/>
          <w:color w:val="0F172A"/>
          <w:sz w:val="24"/>
        </w:rPr>
        <w:t>Surgery — diagnostic, not therapeutic</w:t>
      </w:r>
    </w:p>
    <w:p>
      <w:pPr>
        <w:pStyle w:val="ListBullet"/>
      </w:pPr>
      <w:r>
        <w:t>Role is essentially diagnostic (obtaining adequate tissue) or relief of symptomatic compression.</w:t>
      </w:r>
    </w:p>
    <w:p>
      <w:pPr>
        <w:pStyle w:val="ListBullet"/>
      </w:pPr>
      <w:r>
        <w:t>Mastectomy / wide local excision alone does not prevent progression to AML.</w:t>
      </w:r>
    </w:p>
    <w:p>
      <w:pPr>
        <w:pStyle w:val="ListBullet"/>
      </w:pPr>
      <w:r>
        <w:t>Disfiguring surgery should be avoided in favour of systemic treatment.</w:t>
      </w:r>
    </w:p>
    <w:p>
      <w:pPr>
        <w:pStyle w:val="Heading2"/>
      </w:pPr>
      <w:r>
        <w:rPr>
          <w:rFonts w:ascii="Calibri" w:hAnsi="Calibri"/>
          <w:color w:val="991B1B"/>
          <w:sz w:val="28"/>
        </w:rPr>
        <w:t>A pragmatic management pathway</w:t>
      </w:r>
    </w:p>
    <w:p>
      <w:pPr>
        <w:pStyle w:val="ListNumber"/>
      </w:pPr>
      <w:r>
        <w:rPr>
          <w:b/>
          <w:color w:val="991B1B"/>
        </w:rPr>
        <w:t xml:space="preserve">Tissue diagnosis — </w:t>
      </w:r>
      <w:r>
        <w:t>Core biopsy + myeloid IHC panel (MPO, CD117, CD34, CD43, lysozyme) confirm myeloid sarcoma.</w:t>
      </w:r>
    </w:p>
    <w:p>
      <w:pPr>
        <w:pStyle w:val="ListNumber"/>
      </w:pPr>
      <w:r>
        <w:rPr>
          <w:b/>
          <w:color w:val="991B1B"/>
        </w:rPr>
        <w:t xml:space="preserve">Stage the disease — </w:t>
      </w:r>
      <w:r>
        <w:t>Bone marrow, flow cytometry, cytogenetics/molecular, ± CNS and PET-CT define isolated vs systemic AML.</w:t>
      </w:r>
    </w:p>
    <w:p>
      <w:pPr>
        <w:pStyle w:val="ListNumber"/>
      </w:pPr>
      <w:r>
        <w:rPr>
          <w:b/>
          <w:color w:val="991B1B"/>
        </w:rPr>
        <w:t xml:space="preserve">Systemic induction — </w:t>
      </w:r>
      <w:r>
        <w:t>AML-type intensive chemotherapy is started — regardless of apparently isolated disease.</w:t>
      </w:r>
    </w:p>
    <w:p>
      <w:pPr>
        <w:pStyle w:val="ListNumber"/>
      </w:pPr>
      <w:r>
        <w:rPr>
          <w:b/>
          <w:color w:val="991B1B"/>
        </w:rPr>
        <w:t xml:space="preserve">Consolidate — </w:t>
      </w:r>
      <w:r>
        <w:t>Risk-adapted consolidation: further chemotherapy, targeted agents, and allogeneic transplant in selected patients.</w:t>
      </w:r>
    </w:p>
    <w:p>
      <w:pPr>
        <w:pStyle w:val="ListNumber"/>
      </w:pPr>
      <w:r>
        <w:rPr>
          <w:b/>
          <w:color w:val="991B1B"/>
        </w:rPr>
        <w:t xml:space="preserve">Local control &amp; follow-up — </w:t>
      </w:r>
      <w:r>
        <w:t>Radiotherapy for residual/symptomatic disease; monitor marrow and the local site for relapse.</w:t>
      </w:r>
    </w:p>
    <w:p>
      <w:pPr>
        <w:pStyle w:val="Heading1"/>
      </w:pPr>
      <w:r>
        <w:rPr>
          <w:rFonts w:ascii="Calibri" w:hAnsi="Calibri"/>
          <w:color w:val="991B1B"/>
          <w:sz w:val="36"/>
        </w:rPr>
        <w:t>5. Prognosis &amp; Outcomes</w:t>
      </w:r>
    </w:p>
    <w:p>
      <w:pPr>
        <w:pStyle w:val="ListBullet"/>
      </w:pPr>
      <w:r>
        <w:rPr>
          <w:b/>
          <w:i w:val="0"/>
        </w:rPr>
        <w:t xml:space="preserve">Heterogeneous, generally guarded: </w:t>
      </w:r>
      <w:r>
        <w:rPr>
          <w:b w:val="0"/>
          <w:i w:val="0"/>
        </w:rPr>
        <w:t>retrospective data place median overall survival for MS overall at around 13 months, but outcome varies widely with biology, timing and treatment.</w:t>
      </w:r>
    </w:p>
    <w:p>
      <w:pPr>
        <w:pStyle w:val="ListBullet"/>
      </w:pPr>
      <w:r>
        <w:rPr>
          <w:b/>
          <w:i w:val="0"/>
        </w:rPr>
        <w:t xml:space="preserve">Isolated breast MS heralds AML: </w:t>
      </w:r>
      <w:r>
        <w:rPr>
          <w:b w:val="0"/>
          <w:i w:val="0"/>
        </w:rPr>
        <w:t>untreated or locally-treated disease progresses to overt AML in the great majority of patients (reported up to ~95%, typically within 1–48 months).</w:t>
      </w:r>
    </w:p>
    <w:p>
      <w:pPr>
        <w:pStyle w:val="ListBullet"/>
      </w:pPr>
      <w:r>
        <w:rPr>
          <w:b/>
          <w:i w:val="0"/>
        </w:rPr>
        <w:t xml:space="preserve">Context matters: </w:t>
      </w:r>
      <w:r>
        <w:rPr>
          <w:b w:val="0"/>
          <w:i w:val="0"/>
        </w:rPr>
        <w:t>MS with concurrent AML tracks AML outcomes; a history of MDS/MPN (blast transformation) confers worse survival; in adults, t(8;21)-associated MS may carry a worse prognosis than the leukaemia alone.</w:t>
      </w:r>
    </w:p>
    <w:p>
      <w:pPr>
        <w:pStyle w:val="ListBullet"/>
      </w:pPr>
      <w:r>
        <w:rPr>
          <w:b/>
          <w:i w:val="0"/>
        </w:rPr>
        <w:t xml:space="preserve">Timely systemic therapy can cure: </w:t>
      </w:r>
      <w:r>
        <w:rPr>
          <w:b w:val="0"/>
          <w:i w:val="0"/>
        </w:rPr>
        <w:t>AML-type induction with risk-adapted consolidation (± allogeneic transplant, ± local radiotherapy) has produced durable complete remissions in breast MS case reports. Delayed or missed diagnosis worsens outcome.</w:t>
      </w:r>
    </w:p>
    <w:p>
      <w:pPr>
        <w:shd w:val="clear" w:color="auto" w:fill="EEF2F6"/>
        <w:spacing w:before="120" w:after="120"/>
      </w:pPr>
      <w:r>
        <w:rPr>
          <w:b/>
          <w:color w:val="475569"/>
        </w:rPr>
        <w:t xml:space="preserve">Evidence-quality caveat.  </w:t>
      </w:r>
      <w:r>
        <w:t>The literature on breast myeloid sarcoma consists almost entirely of single case reports and small series. There are no breast-specific prospective trials; recommendations are extrapolated from myeloid sarcoma and AML data and should be applied with multidisciplinary clinical judgement.</w:t>
      </w:r>
    </w:p>
    <w:p>
      <w:pPr>
        <w:pStyle w:val="Heading1"/>
      </w:pPr>
      <w:r>
        <w:rPr>
          <w:rFonts w:ascii="Calibri" w:hAnsi="Calibri"/>
          <w:color w:val="991B1B"/>
          <w:sz w:val="36"/>
        </w:rPr>
        <w:t>6. References</w:t>
      </w:r>
    </w:p>
    <w:p>
      <w:pPr>
        <w:spacing w:after="80"/>
      </w:pPr>
      <w:r>
        <w:rPr>
          <w:b/>
        </w:rPr>
        <w:t xml:space="preserve">1. </w:t>
      </w:r>
      <w:r>
        <w:rPr>
          <w:b/>
        </w:rPr>
        <w:t xml:space="preserve">Patkowska E, Krzywdzińska A, Solarska I, et al. (2025). </w:t>
      </w:r>
      <w:r>
        <w:rPr>
          <w:i/>
        </w:rPr>
        <w:t xml:space="preserve">Diagnostic approaches in myeloid sarcoma. </w:t>
      </w:r>
      <w:r>
        <w:t xml:space="preserve">Curr Issues Mol Biol 47(2):111. </w:t>
      </w:r>
      <w:r>
        <w:rPr>
          <w:color w:val="991B1B"/>
        </w:rPr>
        <w:t>doi:10.3390/cimb47020111</w:t>
      </w:r>
    </w:p>
    <w:p>
      <w:pPr>
        <w:spacing w:after="80"/>
      </w:pPr>
      <w:r>
        <w:rPr>
          <w:b/>
        </w:rPr>
        <w:t xml:space="preserve">2. </w:t>
      </w:r>
      <w:r>
        <w:rPr>
          <w:b/>
        </w:rPr>
        <w:t xml:space="preserve">Magdy M, Abdel Karim N, Eldessouki I (2019). </w:t>
      </w:r>
      <w:r>
        <w:rPr>
          <w:i/>
        </w:rPr>
        <w:t xml:space="preserve">Myeloid sarcoma. </w:t>
      </w:r>
      <w:r>
        <w:t xml:space="preserve">Oncol Res Treat 42(4):219–224. </w:t>
      </w:r>
      <w:r>
        <w:rPr>
          <w:color w:val="991B1B"/>
        </w:rPr>
        <w:t>doi:10.1159/000497210</w:t>
      </w:r>
    </w:p>
    <w:p>
      <w:pPr>
        <w:spacing w:after="80"/>
      </w:pPr>
      <w:r>
        <w:rPr>
          <w:b/>
        </w:rPr>
        <w:t xml:space="preserve">3. </w:t>
      </w:r>
      <w:r>
        <w:rPr>
          <w:b/>
        </w:rPr>
        <w:t xml:space="preserve">Chisholm KM (2019). </w:t>
      </w:r>
      <w:r>
        <w:rPr>
          <w:i/>
        </w:rPr>
        <w:t xml:space="preserve">Myeloid sarcoma. </w:t>
      </w:r>
      <w:r>
        <w:t xml:space="preserve">Atlas Genet Cytogenet Oncol Haematol. </w:t>
      </w:r>
      <w:r>
        <w:rPr>
          <w:color w:val="991B1B"/>
        </w:rPr>
        <w:t>doi:10.4267/2042/70458</w:t>
      </w:r>
    </w:p>
    <w:p>
      <w:pPr>
        <w:spacing w:after="80"/>
      </w:pPr>
      <w:r>
        <w:rPr>
          <w:b/>
        </w:rPr>
        <w:t xml:space="preserve">4. </w:t>
      </w:r>
      <w:r>
        <w:rPr>
          <w:b/>
        </w:rPr>
        <w:t xml:space="preserve">Shaikh MS, Kayani N (2015). </w:t>
      </w:r>
      <w:r>
        <w:rPr>
          <w:i/>
        </w:rPr>
        <w:t xml:space="preserve">Aleukemic myeloid sarcoma of the breast. </w:t>
      </w:r>
      <w:r>
        <w:t xml:space="preserve">J Coll Physicians Surg Pak 25(Suppl 2):S122–3. </w:t>
      </w:r>
      <w:r>
        <w:rPr>
          <w:color w:val="991B1B"/>
        </w:rPr>
        <w:t>PMID:26522197</w:t>
      </w:r>
    </w:p>
    <w:p>
      <w:pPr>
        <w:spacing w:after="80"/>
      </w:pPr>
      <w:r>
        <w:rPr>
          <w:b/>
        </w:rPr>
        <w:t xml:space="preserve">5. </w:t>
      </w:r>
      <w:r>
        <w:rPr>
          <w:b/>
        </w:rPr>
        <w:t xml:space="preserve">Wu HY, Liu L, Gu L, Luo YH (2019). </w:t>
      </w:r>
      <w:r>
        <w:rPr>
          <w:i/>
        </w:rPr>
        <w:t xml:space="preserve">Clinical characteristics and management of primary granulocytic sarcoma of the breast: a case report. </w:t>
      </w:r>
      <w:r>
        <w:t xml:space="preserve">Medicine (Baltimore) 98(35):e16648. </w:t>
      </w:r>
      <w:r>
        <w:rPr>
          <w:color w:val="991B1B"/>
        </w:rPr>
        <w:t>PMID:31464900</w:t>
      </w:r>
    </w:p>
    <w:p>
      <w:pPr>
        <w:spacing w:after="80"/>
      </w:pPr>
      <w:r>
        <w:rPr>
          <w:b/>
        </w:rPr>
        <w:t xml:space="preserve">6. </w:t>
      </w:r>
      <w:r>
        <w:rPr>
          <w:b/>
        </w:rPr>
        <w:t xml:space="preserve">Girshova L, Romanova E, Kholopova IV, et al. (2012). </w:t>
      </w:r>
      <w:r>
        <w:rPr>
          <w:i/>
        </w:rPr>
        <w:t xml:space="preserve">Isolated myeloid sarcoma involving the breast. </w:t>
      </w:r>
      <w:r>
        <w:t xml:space="preserve">Blood 120(21):4345. </w:t>
      </w:r>
      <w:r>
        <w:rPr>
          <w:color w:val="991B1B"/>
        </w:rPr>
        <w:t>doi:10.1182/blood.v120.21.4345.4345</w:t>
      </w:r>
    </w:p>
    <w:p>
      <w:pPr>
        <w:spacing w:after="80"/>
      </w:pPr>
      <w:r>
        <w:rPr>
          <w:b/>
        </w:rPr>
        <w:t xml:space="preserve">7. </w:t>
      </w:r>
      <w:r>
        <w:rPr>
          <w:b/>
        </w:rPr>
        <w:t xml:space="preserve">Zhang Z, Chen Y, Zhang R, et al. (2024). </w:t>
      </w:r>
      <w:r>
        <w:rPr>
          <w:i/>
        </w:rPr>
        <w:t xml:space="preserve">Primary breast myeloid sarcoma: a case report and literature review. </w:t>
      </w:r>
      <w:r>
        <w:t xml:space="preserve">Oncol Lett 29(1). </w:t>
      </w:r>
      <w:r>
        <w:rPr>
          <w:color w:val="991B1B"/>
        </w:rPr>
        <w:t>doi:10.3892/ol.2024.14804</w:t>
      </w:r>
    </w:p>
    <w:p>
      <w:pPr>
        <w:spacing w:after="80"/>
      </w:pPr>
      <w:r>
        <w:rPr>
          <w:b/>
        </w:rPr>
        <w:t xml:space="preserve">8. </w:t>
      </w:r>
      <w:r>
        <w:rPr>
          <w:b/>
        </w:rPr>
        <w:t xml:space="preserve">Amiraian D, McDonough M, Geiger X (2022). </w:t>
      </w:r>
      <w:r>
        <w:rPr>
          <w:i/>
        </w:rPr>
        <w:t xml:space="preserve">Bilateral myeloid sarcoma of the breast: a case report with radiological and pathological correlation. </w:t>
      </w:r>
      <w:r>
        <w:t xml:space="preserve">Cureus 14(5):e24731. </w:t>
      </w:r>
      <w:r>
        <w:rPr>
          <w:color w:val="991B1B"/>
        </w:rPr>
        <w:t>PMID:35686262</w:t>
      </w:r>
    </w:p>
    <w:p>
      <w:pPr>
        <w:spacing w:after="80"/>
      </w:pPr>
      <w:r>
        <w:rPr>
          <w:b/>
        </w:rPr>
        <w:t xml:space="preserve">9. </w:t>
      </w:r>
      <w:r>
        <w:rPr>
          <w:b/>
        </w:rPr>
        <w:t xml:space="preserve">Oravcova I, Mikuskova E, Leitnerova M, et al. (2018). </w:t>
      </w:r>
      <w:r>
        <w:rPr>
          <w:i/>
        </w:rPr>
        <w:t xml:space="preserve">A unique clinical presentation of de novo acute promyelocytic leukemia as a myeloid sarcoma of the breast. </w:t>
      </w:r>
      <w:r>
        <w:t xml:space="preserve">Int J Hematol 108(5):550–553. </w:t>
      </w:r>
      <w:r>
        <w:rPr>
          <w:color w:val="991B1B"/>
        </w:rPr>
        <w:t>PMID:29931624</w:t>
      </w:r>
    </w:p>
    <w:p>
      <w:pPr>
        <w:spacing w:after="80"/>
      </w:pPr>
      <w:r>
        <w:rPr>
          <w:b/>
        </w:rPr>
        <w:t xml:space="preserve">10. </w:t>
      </w:r>
      <w:r>
        <w:rPr>
          <w:b/>
        </w:rPr>
        <w:t xml:space="preserve">Minoia C, de Fazio V, Scognamillo G, et al. (2019). </w:t>
      </w:r>
      <w:r>
        <w:rPr>
          <w:i/>
        </w:rPr>
        <w:t xml:space="preserve">Long-lasting remission in de novo breast myeloid sarcoma treated with decitabine and radiotherapy. </w:t>
      </w:r>
      <w:r>
        <w:t xml:space="preserve">Diagnostics (Basel) 9(3):84. </w:t>
      </w:r>
      <w:r>
        <w:rPr>
          <w:color w:val="991B1B"/>
        </w:rPr>
        <w:t>PMID:31357576</w:t>
      </w:r>
    </w:p>
    <w:p>
      <w:pPr>
        <w:spacing w:after="80"/>
      </w:pPr>
      <w:r>
        <w:rPr>
          <w:b/>
        </w:rPr>
        <w:t xml:space="preserve">11. </w:t>
      </w:r>
      <w:r>
        <w:rPr>
          <w:b/>
        </w:rPr>
        <w:t xml:space="preserve">Ding JS, Zhang M, Zhou F (2026). </w:t>
      </w:r>
      <w:r>
        <w:rPr>
          <w:i/>
        </w:rPr>
        <w:t xml:space="preserve">A primary breast collision tumor composed of myeloid sarcoma and invasive ductal carcinoma. </w:t>
      </w:r>
      <w:r>
        <w:t xml:space="preserve">Front Oncol 16:1788294. </w:t>
      </w:r>
      <w:r>
        <w:rPr>
          <w:color w:val="991B1B"/>
        </w:rPr>
        <w:t>PMID:41889414</w:t>
      </w:r>
    </w:p>
    <w:p>
      <w:pPr>
        <w:spacing w:after="80"/>
      </w:pPr>
      <w:r>
        <w:rPr>
          <w:b/>
        </w:rPr>
        <w:t xml:space="preserve">12. </w:t>
      </w:r>
      <w:r>
        <w:rPr>
          <w:b/>
        </w:rPr>
        <w:t xml:space="preserve">Bourque JM, Gaudet JG, Manengue A (2025). </w:t>
      </w:r>
      <w:r>
        <w:rPr>
          <w:i/>
        </w:rPr>
        <w:t xml:space="preserve">Radiotherapy for isolated breast myeloid sarcoma. </w:t>
      </w:r>
      <w:r>
        <w:t xml:space="preserve">J Med Cases 16(9):360–365. </w:t>
      </w:r>
      <w:r>
        <w:rPr>
          <w:color w:val="991B1B"/>
        </w:rPr>
        <w:t>doi:10.14740/jmc4334</w:t>
      </w:r>
    </w:p>
    <w:p>
      <w:pPr>
        <w:spacing w:after="80"/>
      </w:pPr>
      <w:r>
        <w:rPr>
          <w:b/>
        </w:rPr>
        <w:t xml:space="preserve">13. </w:t>
      </w:r>
      <w:r>
        <w:rPr>
          <w:b/>
        </w:rPr>
        <w:t xml:space="preserve">Bakst R, Wolden S, Yahalom J (2011). </w:t>
      </w:r>
      <w:r>
        <w:rPr>
          <w:i/>
        </w:rPr>
        <w:t xml:space="preserve">Radiation therapy for chloroma (granulocytic sarcoma). </w:t>
      </w:r>
      <w:r>
        <w:t xml:space="preserve">Int J Radiat Oncol Biol Phys 82(5):1816–22. </w:t>
      </w:r>
      <w:r>
        <w:rPr>
          <w:color w:val="991B1B"/>
        </w:rPr>
        <w:t>PMID:21962486</w:t>
      </w:r>
    </w:p>
    <w:p>
      <w:pPr>
        <w:spacing w:after="80"/>
      </w:pPr>
      <w:r>
        <w:rPr>
          <w:b/>
        </w:rPr>
        <w:t xml:space="preserve">14. </w:t>
      </w:r>
      <w:r>
        <w:rPr>
          <w:b/>
        </w:rPr>
        <w:t xml:space="preserve">Antic D, Elezovic I, Milic N, et al. (2012). </w:t>
      </w:r>
      <w:r>
        <w:rPr>
          <w:i/>
        </w:rPr>
        <w:t xml:space="preserve">Is there a "gold" standard treatment for patients with isolated myeloid sarcoma?. </w:t>
      </w:r>
      <w:r>
        <w:t xml:space="preserve">Biomed Pharmacother 67(1):72–7. </w:t>
      </w:r>
      <w:r>
        <w:rPr>
          <w:color w:val="991B1B"/>
        </w:rPr>
        <w:t>PMID:23218987</w:t>
      </w:r>
    </w:p>
    <w:p>
      <w:pPr>
        <w:spacing w:after="80"/>
      </w:pPr>
      <w:r>
        <w:rPr>
          <w:b/>
        </w:rPr>
        <w:t xml:space="preserve">15. </w:t>
      </w:r>
      <w:r>
        <w:rPr>
          <w:b/>
        </w:rPr>
        <w:t xml:space="preserve">Cunningham I (2012). </w:t>
      </w:r>
      <w:r>
        <w:rPr>
          <w:i/>
        </w:rPr>
        <w:t xml:space="preserve">A basis for updating our approach to resistant acute leukemia (breast leukaemic tumours). </w:t>
      </w:r>
      <w:r>
        <w:t xml:space="preserve">Am J Hematol 87(3):251–7. </w:t>
      </w:r>
      <w:r>
        <w:rPr>
          <w:color w:val="991B1B"/>
        </w:rPr>
        <w:t>PMID:22287495</w:t>
      </w:r>
    </w:p>
    <w:p>
      <w:pPr>
        <w:spacing w:after="80"/>
      </w:pPr>
      <w:r>
        <w:rPr>
          <w:b/>
        </w:rPr>
        <w:t xml:space="preserve">16. </w:t>
      </w:r>
      <w:r>
        <w:rPr>
          <w:b/>
        </w:rPr>
        <w:t xml:space="preserve">Vickery J, Peerenboom R, Siddiqui F, et al. (2026). </w:t>
      </w:r>
      <w:r>
        <w:rPr>
          <w:i/>
        </w:rPr>
        <w:t xml:space="preserve">Hematolymphoid neoplasms involving the breast: a single-institution clinicopathologic study of 59 patients. </w:t>
      </w:r>
      <w:r>
        <w:t xml:space="preserve">Ann Hematol 105(5). </w:t>
      </w:r>
      <w:r>
        <w:rPr>
          <w:color w:val="991B1B"/>
        </w:rPr>
        <w:t>PMID:41957230</w:t>
      </w:r>
    </w:p>
    <w:p>
      <w:pPr>
        <w:spacing w:after="80"/>
      </w:pPr>
      <w:r>
        <w:rPr>
          <w:b/>
        </w:rPr>
        <w:t xml:space="preserve">17. </w:t>
      </w:r>
      <w:r>
        <w:rPr>
          <w:b/>
        </w:rPr>
        <w:t xml:space="preserve">Chiu AM, Yoon J, Tirumani SH (2023). </w:t>
      </w:r>
      <w:r>
        <w:rPr>
          <w:i/>
        </w:rPr>
        <w:t xml:space="preserve">Myeloid sarcoma: a primer for radiologists. </w:t>
      </w:r>
      <w:r>
        <w:t xml:space="preserve">J Comput Assist Tomogr 47(3):475–484. </w:t>
      </w:r>
      <w:r>
        <w:rPr>
          <w:color w:val="991B1B"/>
        </w:rPr>
        <w:t>doi:10.1097/rct.0000000000001440</w:t>
      </w:r>
    </w:p>
    <w:p>
      <w:pPr>
        <w:spacing w:after="40"/>
      </w:pPr>
    </w:p>
    <w:p>
      <w:pPr>
        <w:shd w:val="clear" w:color="auto" w:fill="EEF2F6"/>
      </w:pPr>
      <w:r>
        <w:rPr>
          <w:b/>
          <w:color w:val="475569"/>
        </w:rPr>
        <w:t xml:space="preserve">Disclaimer.  </w:t>
      </w:r>
      <w:r>
        <w:rPr>
          <w:color w:val="475569"/>
        </w:rPr>
        <w:t>This document is for clinical education only. Management decisions must be based on individual patient assessment, multidisciplinary haemato-oncology input, and current guidelines — not on this resource alone. © 2026 Blood Doctor by Dr Abdul Mannan.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