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2"/>
        </w:rPr>
        <w:t>TP53 Mutation and Its Impact on Haematological Malignancies: A Narrative Review</w:t>
      </w:r>
    </w:p>
    <w:p>
      <w:pPr>
        <w:pStyle w:val="Heading1"/>
      </w:pPr>
      <w:r>
        <w:rPr>
          <w:rFonts w:ascii="Times New Roman" w:hAnsi="Times New Roman"/>
          <w:sz w:val="28"/>
        </w:rPr>
        <w:t>Abstract</w:t>
      </w:r>
    </w:p>
    <w:p>
      <w:pPr>
        <w:spacing w:after="120"/>
      </w:pPr>
      <w:r>
        <w:rPr>
          <w:rFonts w:ascii="Times New Roman" w:hAnsi="Times New Roman"/>
          <w:sz w:val="22"/>
        </w:rPr>
        <w:t>TP53 alterations are among the most clinically consequential genomic events across haematological malignancies, but their meaning varies by disease context, allelic state, clone size, and accompanying genomic instability. In contemporary myeloid classification, TP53 is no longer merely a poor-risk biomarker; it has become a disease-defining lesion in selected settings. In myelodysplastic syndrome (MDS) with mutated TP53, multi-hit or biallelic TP53 inactivation defines a distinct clinicopathologic entity marked by complex karyotype, chromosomal instability, and very poor survival. In contrast, once blast counts reach the MDS/acute myeloid leukaemia (MDS/AML) or acute myeloid leukaemia (AML) range, even a single TP53 mutation may be sufficient to define TP53-mutated disease, reflecting adverse biology that transcends traditional blast-based categories. Across myeloid neoplasia, TP53 mutations are associated with therapy-related disease, erythroid-predominant morphology, resistance to conventional therapy, short remission duration, and inferior overall survival despite newer venetoclax-based regimens. In lymphoid and plasma cell neoplasms, TP53 more often functions as a high-risk modifier than as a classifier, but again marks aggressive disease biology, treatment refractoriness, and transformation. This is particularly evident in chronic lymphocytic leukaemia/small lymphocytic lymphoma (CLL/SLL), Richter transformation, mantle cell lymphoma (MCL), and high-risk multiple myeloma. Germline TP53 also remains important in inherited cancer predisposition, especially Li-Fraumeni syndrome and related diagnostic contexts. Taken together, TP53 should be interpreted as a context-dependent determinant of classification, prognosis, and therapeutic strategy rather than as a generic mutation label. The strongest evidence in the local source set supports its central role in high-risk myeloid neoplasia, where it effectively reframes disease taxonomy and clinical decision-making.</w:t>
      </w:r>
    </w:p>
    <w:p>
      <w:pPr>
        <w:pStyle w:val="Heading1"/>
      </w:pPr>
      <w:r>
        <w:rPr>
          <w:rFonts w:ascii="Times New Roman" w:hAnsi="Times New Roman"/>
          <w:sz w:val="28"/>
        </w:rPr>
        <w:t>Keywords</w:t>
      </w:r>
    </w:p>
    <w:p>
      <w:pPr>
        <w:spacing w:after="120"/>
      </w:pPr>
      <w:r>
        <w:rPr>
          <w:rFonts w:ascii="Times New Roman" w:hAnsi="Times New Roman"/>
          <w:sz w:val="22"/>
        </w:rPr>
        <w:t>TP53; p53; myelodysplastic syndrome; acute myeloid leukaemia; MDS/AML; chronic lymphocytic leukaemia; mantle cell lymphoma; multiple myeloma; Richter transformation; genomic instability</w:t>
      </w:r>
    </w:p>
    <w:p>
      <w:pPr>
        <w:pStyle w:val="Heading1"/>
      </w:pPr>
      <w:r>
        <w:rPr>
          <w:rFonts w:ascii="Times New Roman" w:hAnsi="Times New Roman"/>
          <w:sz w:val="28"/>
        </w:rPr>
        <w:t>Introduction</w:t>
      </w:r>
    </w:p>
    <w:p>
      <w:pPr>
        <w:spacing w:after="120"/>
      </w:pPr>
      <w:r>
        <w:rPr>
          <w:rFonts w:ascii="Times New Roman" w:hAnsi="Times New Roman"/>
          <w:sz w:val="22"/>
        </w:rPr>
        <w:t>TP53 is the canonical tumour suppressor gene of genomic integrity, but in haematological malignancies its clinical meaning depends on more than mutational presence alone. Allelic configuration, variant allele frequency (VAF), coexisting structural abnormalities, lineage context, and therapy exposure all modify its effect. The modern classification era has made this explicit: TP53 abnormalities now define disease categories in myeloid neoplasia and stratify biological aggressiveness across several lymphoid and plasma cell disorders [1-6].</w:t>
      </w:r>
    </w:p>
    <w:p>
      <w:pPr>
        <w:spacing w:after="120"/>
      </w:pPr>
      <w:r>
        <w:rPr>
          <w:rFonts w:ascii="Times New Roman" w:hAnsi="Times New Roman"/>
          <w:sz w:val="22"/>
        </w:rPr>
        <w:t>The most important conceptual shift is that TP53-mutated myeloid neoplasms behave as a biologically coherent family with uniformly adverse outcomes, reducing the practical value of rigid historic blast cut-offs in isolation [1-5]. This review synthesises the local source material into a journal-neutral narrative focused on classification, disease biology, prognosis, and therapeutic implications.</w:t>
      </w:r>
    </w:p>
    <w:p>
      <w:pPr>
        <w:pStyle w:val="Heading1"/>
      </w:pPr>
      <w:r>
        <w:rPr>
          <w:rFonts w:ascii="Times New Roman" w:hAnsi="Times New Roman"/>
          <w:sz w:val="28"/>
        </w:rPr>
        <w:t>Biological Framework of TP53 Alteration</w:t>
      </w:r>
    </w:p>
    <w:p>
      <w:pPr>
        <w:spacing w:after="120"/>
      </w:pPr>
      <w:r>
        <w:rPr>
          <w:rFonts w:ascii="Times New Roman" w:hAnsi="Times New Roman"/>
          <w:sz w:val="22"/>
        </w:rPr>
        <w:t>TP53 loss promotes tolerance of DNA damage, defective apoptosis, chromosomal instability, clonal selection under therapeutic pressure, and resistance to cytotoxic treatment. In clinical practice, the biological effect is shaped by whether one or both TP53 alleles are inactivated. In MDS, biallelic or multi-hit TP53 lesions carry the clearest disease-defining and prognostic significance, whereas in AML and MDS/AML adverse biology remains strong even with single-hit lesions once blast thresholds rise [1,3-6].</w:t>
      </w:r>
    </w:p>
    <w:p>
      <w:pPr>
        <w:spacing w:after="120"/>
      </w:pPr>
      <w:r>
        <w:rPr>
          <w:rFonts w:ascii="Times New Roman" w:hAnsi="Times New Roman"/>
          <w:sz w:val="22"/>
        </w:rPr>
        <w:t>TP53 abnormalities also track closely with complex karyotype, aneuploidy, and other markers of genomic chaos. This coupling is not incidental: it is one of the reasons TP53-mutated disease behaves differently from morphologically similar TP53-wild-type neoplasms [1,3-5].</w:t>
      </w:r>
    </w:p>
    <w:p>
      <w:pPr>
        <w:pStyle w:val="Heading2"/>
      </w:pPr>
      <w:r>
        <w:rPr>
          <w:rFonts w:ascii="Times New Roman" w:hAnsi="Times New Roman"/>
          <w:sz w:val="24"/>
        </w:rPr>
        <w:t>Mechanistic Consequences Relevant to Clinical Practice</w:t>
      </w:r>
    </w:p>
    <w:p>
      <w:pPr>
        <w:spacing w:after="120"/>
      </w:pPr>
      <w:r>
        <w:rPr>
          <w:rFonts w:ascii="Times New Roman" w:hAnsi="Times New Roman"/>
          <w:sz w:val="22"/>
        </w:rPr>
        <w:t>From a translational perspective, three linked mechanisms explain much of the adverse phenotype associated with TP53 alteration. First, TP53 loss permits survival of genomically unstable clones that would otherwise undergo cell-cycle arrest or apoptosis. Second, this creates a selective advantage under chemotherapy and other cytotoxic stress, allowing resistant subclones to expand during treatment or relapse. Third, once this process is established, accompanying structural complexity, including complex karyotype, 17p loss, and copy number imbalance, may become as clinically important as the point mutation itself [1-8].</w:t>
      </w:r>
    </w:p>
    <w:p>
      <w:pPr>
        <w:spacing w:after="120"/>
      </w:pPr>
      <w:r>
        <w:rPr>
          <w:rFonts w:ascii="Times New Roman" w:hAnsi="Times New Roman"/>
          <w:sz w:val="22"/>
        </w:rPr>
        <w:t>This is why TP53 should not be interpreted as a simple molecular checkbox. The mutation only becomes clinically meaningful when integrated with allelic state, VAF, cytogenetic context, and disease compartment. In particular, the distinction between monoallelic and multi-hit TP53 remains highly relevant in lower-blast myeloid disease, whereas in advanced myeloid states the prognostic penalty appears to widen beyond strict allelic categories and reflect the broader genomic architecture of the clone [1,3-6].</w:t>
      </w:r>
    </w:p>
    <w:p>
      <w:pPr>
        <w:pStyle w:val="Heading1"/>
      </w:pPr>
      <w:r>
        <w:rPr>
          <w:rFonts w:ascii="Times New Roman" w:hAnsi="Times New Roman"/>
          <w:sz w:val="28"/>
        </w:rPr>
        <w:t>TP53 in Myeloid Neoplasms</w:t>
      </w:r>
    </w:p>
    <w:p>
      <w:pPr>
        <w:pStyle w:val="Heading2"/>
      </w:pPr>
      <w:r>
        <w:rPr>
          <w:rFonts w:ascii="Times New Roman" w:hAnsi="Times New Roman"/>
          <w:sz w:val="24"/>
        </w:rPr>
        <w:t>MDS with Mutated TP53</w:t>
      </w:r>
    </w:p>
    <w:p>
      <w:pPr>
        <w:spacing w:after="120"/>
      </w:pPr>
      <w:r>
        <w:rPr>
          <w:rFonts w:ascii="Times New Roman" w:hAnsi="Times New Roman"/>
          <w:sz w:val="22"/>
        </w:rPr>
        <w:t>The clearest example of TP53 as a disease-defining lesion is MDS with mutated TP53. The defining biology is multi-hit TP53 inactivation, operationally supported by biallelic mutation, mutation plus 17p deletion, mutation plus 17p loss of heterozygosity, or a sufficiently high VAF pattern suggestive of biallelic loss [1,2,6]. This entity is tightly linked to complex karyotype and chromosomal instability, with relatively fewer of the co-mutation patterns more typical of non-TP53-mutated MDS [1,3].</w:t>
      </w:r>
    </w:p>
    <w:p>
      <w:pPr>
        <w:spacing w:after="120"/>
      </w:pPr>
      <w:r>
        <w:rPr>
          <w:rFonts w:ascii="Times New Roman" w:hAnsi="Times New Roman"/>
          <w:sz w:val="22"/>
        </w:rPr>
        <w:t>Clinically, MDS with mutated TP53 carries a markedly poor prognosis, with median survival around 1 year in the studies emphasised in the local source set [1,2,4]. Importantly, poor outcome is not fully explained by blast percentage alone. Rather, TP53 status itself identifies a biologically high-risk subgroup with higher early mortality, frequent therapy resistance, and rapid progression [1,4-6].</w:t>
      </w:r>
    </w:p>
    <w:p>
      <w:pPr>
        <w:pStyle w:val="Heading2"/>
      </w:pPr>
      <w:r>
        <w:rPr>
          <w:rFonts w:ascii="Times New Roman" w:hAnsi="Times New Roman"/>
          <w:sz w:val="24"/>
        </w:rPr>
        <w:t>MDS/AML and AML with Mutated TP53</w:t>
      </w:r>
    </w:p>
    <w:p>
      <w:pPr>
        <w:spacing w:after="120"/>
      </w:pPr>
      <w:r>
        <w:rPr>
          <w:rFonts w:ascii="Times New Roman" w:hAnsi="Times New Roman"/>
          <w:sz w:val="22"/>
        </w:rPr>
        <w:t>In the MDS/AML and AML setting, TP53 alters classification logic even further. Once blasts rise into the 10% to 19% range (MDS/AML) or 20% or above (AML), the adverse biology associated with TP53 becomes sufficiently dominant that even a single TP53 mutation may justify classification as TP53-mutated disease [3-5]. This reflects accumulating evidence that blast count alone inadequately captures risk once TP53-driven genomic instability is established [4,5].</w:t>
      </w:r>
    </w:p>
    <w:p>
      <w:pPr>
        <w:spacing w:after="120"/>
      </w:pPr>
      <w:r>
        <w:rPr>
          <w:rFonts w:ascii="Times New Roman" w:hAnsi="Times New Roman"/>
          <w:sz w:val="22"/>
        </w:rPr>
        <w:t>TP53-mutated AML is enriched in therapy-related disease, older patients, erythroid-rich or pure erythroid morphology, and AML with complex karyotype [3,7,8]. These cases are among the most chemoresistant forms of AML. Response rates to intensive chemotherapy are inferior, relapse is frequent, and even lower-intensity regimens with hypomethylating agents plus venetoclax have yielded short median overall survival despite sometimes respectable remission rates [2-5,16]. Higher VAF is also associated with worse outcome in several cohorts, although the optimal prognostic threshold remains context-dependent [3,6].</w:t>
      </w:r>
    </w:p>
    <w:p>
      <w:pPr>
        <w:pStyle w:val="Heading2"/>
      </w:pPr>
      <w:r>
        <w:rPr>
          <w:rFonts w:ascii="Times New Roman" w:hAnsi="Times New Roman"/>
          <w:sz w:val="24"/>
        </w:rPr>
        <w:t>TP53 in the Pre-MDS Continuum</w:t>
      </w:r>
    </w:p>
    <w:p>
      <w:pPr>
        <w:spacing w:after="120"/>
      </w:pPr>
      <w:r>
        <w:rPr>
          <w:rFonts w:ascii="Times New Roman" w:hAnsi="Times New Roman"/>
          <w:sz w:val="22"/>
        </w:rPr>
        <w:t>A notable practical implication of the current framework is that TP53 can also separate overt neoplasia from borderline clonal states. In cytopenic patients, multi-hit TP53 lesions at meaningful VAF are treated as MDS-defining rather than as benign or indeterminate clonal haematopoiesis. This gives TP53 diagnostic force even before frank AML develops and reinforces that the mutation should not be interpreted in isolation from allelic state and marrow phenotype [1,6].</w:t>
      </w:r>
    </w:p>
    <w:p>
      <w:pPr>
        <w:pStyle w:val="Heading1"/>
      </w:pPr>
      <w:r>
        <w:rPr>
          <w:rFonts w:ascii="Times New Roman" w:hAnsi="Times New Roman"/>
          <w:sz w:val="28"/>
        </w:rPr>
        <w:t>TP53 in Lymphoid Neoplasms</w:t>
      </w:r>
    </w:p>
    <w:p>
      <w:pPr>
        <w:pStyle w:val="Heading2"/>
      </w:pPr>
      <w:r>
        <w:rPr>
          <w:rFonts w:ascii="Times New Roman" w:hAnsi="Times New Roman"/>
          <w:sz w:val="24"/>
        </w:rPr>
        <w:t>CLL/SLL and Richter Transformation</w:t>
      </w:r>
    </w:p>
    <w:p>
      <w:pPr>
        <w:spacing w:after="120"/>
      </w:pPr>
      <w:r>
        <w:rPr>
          <w:rFonts w:ascii="Times New Roman" w:hAnsi="Times New Roman"/>
          <w:sz w:val="22"/>
        </w:rPr>
        <w:t>In CLL/SLL, TP53 abnormalities are classically adverse-risk lesions rather than disease-defining classifiers. They may emerge under treatment pressure, particularly after chemoimmunotherapy, and can also exist as low-level subclones with prognostic relevance [9]. Their presence is associated with aggressive clinical behaviour, inferior outcomes with traditional treatment, and higher-risk disease biology.</w:t>
      </w:r>
    </w:p>
    <w:p>
      <w:pPr>
        <w:spacing w:after="120"/>
      </w:pPr>
      <w:r>
        <w:rPr>
          <w:rFonts w:ascii="Times New Roman" w:hAnsi="Times New Roman"/>
          <w:sz w:val="22"/>
        </w:rPr>
        <w:t>TP53 also has a major role in Richter transformation, where aggressive transformation is enriched for TP53 lesions, often alongside CDKN2A/CDKN2B disruption and other genomic events promoting high-grade evolution [10]. This supports the broader principle that TP53 is a marker of clonal escape and transformation under selective stress.</w:t>
      </w:r>
    </w:p>
    <w:p>
      <w:pPr>
        <w:pStyle w:val="Heading2"/>
      </w:pPr>
      <w:r>
        <w:rPr>
          <w:rFonts w:ascii="Times New Roman" w:hAnsi="Times New Roman"/>
          <w:sz w:val="24"/>
        </w:rPr>
        <w:t>Mantle Cell Lymphoma</w:t>
      </w:r>
    </w:p>
    <w:p>
      <w:pPr>
        <w:spacing w:after="120"/>
      </w:pPr>
      <w:r>
        <w:rPr>
          <w:rFonts w:ascii="Times New Roman" w:hAnsi="Times New Roman"/>
          <w:sz w:val="22"/>
        </w:rPr>
        <w:t>Among mature B-cell neoplasms, MCL shows one of the strongest and most consistent TP53-associated adverse signals. TP53 mutations and deletions are enriched in blastoid and pleomorphic variants, highly proliferative disease, and clinically aggressive relapse patterns [11-13]. Multiple studies cited in the local source set indicate that TP53-disrupted MCL has inferior outcomes even with intensive treatment approaches [11-13].</w:t>
      </w:r>
    </w:p>
    <w:p>
      <w:pPr>
        <w:spacing w:after="120"/>
      </w:pPr>
      <w:r>
        <w:rPr>
          <w:rFonts w:ascii="Times New Roman" w:hAnsi="Times New Roman"/>
          <w:sz w:val="22"/>
        </w:rPr>
        <w:t>A particularly important practical point is that TP53 mutation identifies a subgroup of younger MCL patients who do not derive the expected benefit from intensive chemoimmunotherapy, and high-dose cytarabine does not appear to neutralise the adverse effect of TP53 deletion or coexisting CDKN2A loss [11,13]. For this reason, TP53 in MCL is best interpreted as a treatment-refractory biology signal rather than merely a prognostic annotation.</w:t>
      </w:r>
    </w:p>
    <w:p>
      <w:pPr>
        <w:pStyle w:val="Heading2"/>
      </w:pPr>
      <w:r>
        <w:rPr>
          <w:rFonts w:ascii="Times New Roman" w:hAnsi="Times New Roman"/>
          <w:sz w:val="24"/>
        </w:rPr>
        <w:t>Diffuse Large B-Cell Lymphoma and Other Lymphoid Contexts</w:t>
      </w:r>
    </w:p>
    <w:p>
      <w:pPr>
        <w:spacing w:after="120"/>
      </w:pPr>
      <w:r>
        <w:rPr>
          <w:rFonts w:ascii="Times New Roman" w:hAnsi="Times New Roman"/>
          <w:sz w:val="22"/>
        </w:rPr>
        <w:t>In diffuse large B-cell lymphoma, TP53 loss contributes to aggressive molecular subsets and adverse-risk copy number profiles, but it is not elevated to the same defining role seen in myeloid disease. In T-cell prolymphocytic leukaemia, TP53 lesions can occur, but the core disease biology remains more closely tied to TCL1-family dysregulation and ATM loss. Even so, TP53 again aligns with aggressive disease behaviour and genomic complexity, consistent with its broader cross-lineage role.</w:t>
      </w:r>
    </w:p>
    <w:p>
      <w:pPr>
        <w:pStyle w:val="Heading1"/>
      </w:pPr>
      <w:r>
        <w:rPr>
          <w:rFonts w:ascii="Times New Roman" w:hAnsi="Times New Roman"/>
          <w:sz w:val="28"/>
        </w:rPr>
        <w:t>TP53 in Plasma Cell Neoplasms</w:t>
      </w:r>
    </w:p>
    <w:p>
      <w:pPr>
        <w:spacing w:after="120"/>
      </w:pPr>
      <w:r>
        <w:rPr>
          <w:rFonts w:ascii="Times New Roman" w:hAnsi="Times New Roman"/>
          <w:sz w:val="22"/>
        </w:rPr>
        <w:t>In plasma cell neoplasms, TP53 is primarily a marker of advanced-risk biology. Del(17p) remains a recognised high-risk cytogenetic feature in multiple myeloma, and TP53 mutations become more relevant in relapsed or genomically complex disease [14,15]. The available local sources emphasise TP53 as part of the evolutionary architecture of high-risk myeloma rather than as a defining lesion in newly diagnosed standard-risk disease.</w:t>
      </w:r>
    </w:p>
    <w:p>
      <w:pPr>
        <w:spacing w:after="120"/>
      </w:pPr>
      <w:r>
        <w:rPr>
          <w:rFonts w:ascii="Times New Roman" w:hAnsi="Times New Roman"/>
          <w:sz w:val="22"/>
        </w:rPr>
        <w:t>This interpretation is clinically important because TP53 in myeloma often reflects clonal progression rather than early disease identity. It therefore helps identify patients with more aggressive disease kinetics, greater therapeutic resistance, and potential need for intensified risk-adapted monitoring or advanced therapies.</w:t>
      </w:r>
    </w:p>
    <w:p>
      <w:pPr>
        <w:pStyle w:val="Heading1"/>
      </w:pPr>
      <w:r>
        <w:rPr>
          <w:rFonts w:ascii="Times New Roman" w:hAnsi="Times New Roman"/>
          <w:sz w:val="28"/>
        </w:rPr>
        <w:t>Germline TP53 and Predisposition</w:t>
      </w:r>
    </w:p>
    <w:p>
      <w:pPr>
        <w:spacing w:after="120"/>
      </w:pPr>
      <w:r>
        <w:rPr>
          <w:rFonts w:ascii="Times New Roman" w:hAnsi="Times New Roman"/>
          <w:sz w:val="22"/>
        </w:rPr>
        <w:t>Not all TP53 abnormalities are acquired. Germline TP53 variants, most classically in Li-Fraumeni syndrome, remain relevant to haematological practice, particularly when evaluating unusual age at presentation, hypodiploid acute lymphoblastic leukaemia, mixed cancer histories, or possible familial predisposition [2]. Germline context also matters in transplant planning, donor screening, counselling, and surveillance. Failure to distinguish constitutional from acquired TP53 abnormalities can lead to major diagnostic and therapeutic errors.</w:t>
      </w:r>
    </w:p>
    <w:p>
      <w:pPr>
        <w:pStyle w:val="Heading1"/>
      </w:pPr>
      <w:r>
        <w:rPr>
          <w:rFonts w:ascii="Times New Roman" w:hAnsi="Times New Roman"/>
          <w:sz w:val="28"/>
        </w:rPr>
        <w:t>Therapeutic Implications</w:t>
      </w:r>
    </w:p>
    <w:p>
      <w:pPr>
        <w:spacing w:after="120"/>
      </w:pPr>
      <w:r>
        <w:rPr>
          <w:rFonts w:ascii="Times New Roman" w:hAnsi="Times New Roman"/>
          <w:sz w:val="22"/>
        </w:rPr>
        <w:t>TP53 status directly influences treatment strategy across disease groups, but the effect is most dramatic in myeloid neoplasia. In TP53-mutated MDS, MDS/AML, and AML, standard treatments have limited durability, allogeneic transplantation remains important for suitable patients, and clinical trial enrolment should be prioritised whenever feasible [2-5,16]. The key therapeutic message is not that TP53-mutated disease is untreatable, but that it is inadequately served by standard pathways.</w:t>
      </w:r>
    </w:p>
    <w:p>
      <w:pPr>
        <w:spacing w:after="120"/>
      </w:pPr>
      <w:r>
        <w:rPr>
          <w:rFonts w:ascii="Times New Roman" w:hAnsi="Times New Roman"/>
          <w:sz w:val="22"/>
        </w:rPr>
        <w:t>In CLL/SLL, TP53 abnormalities have already reshaped treatment selection away from older chemoimmunotherapy paradigms and toward targeted approaches. In MCL, TP53 should prompt caution against assuming that conventional intensification will overcome adverse biology [9,11-13]. In myeloma, TP53 contributes to recognition of high-risk disease biology and may justify earlier use of advanced or investigational strategies in appropriate clinical contexts [14,15].</w:t>
      </w:r>
    </w:p>
    <w:p>
      <w:pPr>
        <w:pStyle w:val="Heading2"/>
      </w:pPr>
      <w:r>
        <w:rPr>
          <w:rFonts w:ascii="Times New Roman" w:hAnsi="Times New Roman"/>
          <w:sz w:val="24"/>
        </w:rPr>
        <w:t>Therapeutic Discussion in Myeloid Disease</w:t>
      </w:r>
    </w:p>
    <w:p>
      <w:pPr>
        <w:spacing w:after="120"/>
      </w:pPr>
      <w:r>
        <w:rPr>
          <w:rFonts w:ascii="Times New Roman" w:hAnsi="Times New Roman"/>
          <w:sz w:val="22"/>
        </w:rPr>
        <w:t>The myeloid setting remains the clearest example of TP53 as a determinant of treatment failure. Intensive induction may achieve remission in selected patients, but remissions are often short and biologically unstable. Lower-intensity regimens, including hypomethylating agent-based therapy with venetoclax, may increase response rates yet have not reliably translated into durable survival for the broader TP53-mutated population [2-5,16]. This creates a clinically important distinction between initial cytoreduction and true disease control.</w:t>
      </w:r>
    </w:p>
    <w:p>
      <w:pPr>
        <w:spacing w:after="120"/>
      </w:pPr>
      <w:r>
        <w:rPr>
          <w:rFonts w:ascii="Times New Roman" w:hAnsi="Times New Roman"/>
          <w:sz w:val="22"/>
        </w:rPr>
        <w:t>For transplant-eligible patients, allogeneic stem cell transplantation remains a rational consolidation strategy, but transplant should be viewed as part of a high-risk pathway rather than a guaranteed equaliser of prognosis. The practical aim is often to reduce disease burden, ideally suppress the dominant TP53-mutant clone, and proceed to transplant in the narrowest feasible window of disease control. Even then, relapse remains a major concern, so post-remission planning and clinical-trial access remain central rather than optional [2-5].</w:t>
      </w:r>
    </w:p>
    <w:p>
      <w:pPr>
        <w:spacing w:after="120"/>
      </w:pPr>
      <w:r>
        <w:rPr>
          <w:rFonts w:ascii="Times New Roman" w:hAnsi="Times New Roman"/>
          <w:sz w:val="22"/>
        </w:rPr>
        <w:t>An additional unresolved issue is how best to use molecular response in this setting. The available local source set repeatedly implies that clearance or reduction of the TP53-abnormal clone is biologically meaningful, but the exact role of serial VAF monitoring, minimal residual disease frameworks, and dynamic clonal assessment is not yet standardised across all practice environments [2-6]. This is one of the strongest arguments for integrating molecular monitoring more formally into future TP53-directed trials.</w:t>
      </w:r>
    </w:p>
    <w:p>
      <w:pPr>
        <w:pStyle w:val="Heading2"/>
      </w:pPr>
      <w:r>
        <w:rPr>
          <w:rFonts w:ascii="Times New Roman" w:hAnsi="Times New Roman"/>
          <w:sz w:val="24"/>
        </w:rPr>
        <w:t>Therapeutic Discussion in Lymphoid Disease</w:t>
      </w:r>
    </w:p>
    <w:p>
      <w:pPr>
        <w:spacing w:after="120"/>
      </w:pPr>
      <w:r>
        <w:rPr>
          <w:rFonts w:ascii="Times New Roman" w:hAnsi="Times New Roman"/>
          <w:sz w:val="22"/>
        </w:rPr>
        <w:t>In CLL/SLL, TP53 abnormalities are now inseparable from treatment choice. The central shift has been away from reliance on chemoimmunotherapy toward targeted strategies that are less dependent on intact TP53-mediated apoptotic machinery. Even within the targeted-therapy era, the local source material supports the view that TP53-disrupted disease remains biologically high-risk and may be better served by continuous control-oriented approaches than by treatment paradigms that assume prolonged fixed-duration remission in all patients [9,18].</w:t>
      </w:r>
    </w:p>
    <w:p>
      <w:pPr>
        <w:spacing w:after="120"/>
      </w:pPr>
      <w:r>
        <w:rPr>
          <w:rFonts w:ascii="Times New Roman" w:hAnsi="Times New Roman"/>
          <w:sz w:val="22"/>
        </w:rPr>
        <w:t>Richter transformation represents the most clinically aggressive extension of this problem. TP53-associated transformation biology signals clonal escape, therapeutic resistance, and often poor survival. In practice, this means that sudden clinical acceleration in CLL with known TP53 abnormality should heighten suspicion for transformation rather than being attributed to routine progression alone [9,10,18].</w:t>
      </w:r>
    </w:p>
    <w:p>
      <w:pPr>
        <w:spacing w:after="120"/>
      </w:pPr>
      <w:r>
        <w:rPr>
          <w:rFonts w:ascii="Times New Roman" w:hAnsi="Times New Roman"/>
          <w:sz w:val="22"/>
        </w:rPr>
        <w:t>In MCL, the therapeutic implication is even sharper: TP53 should actively temper enthusiasm for conventional intensification. Several studies in the local source set indicate that intensive chemoimmunotherapy and high-dose cytarabine do not fully overcome TP53-associated risk, particularly in biologically aggressive subgroups [11-13,19]. This supports a more risk-adapted strategy in which TP53 is considered early when counselling patients about expected benefit from standard intensive pathways.</w:t>
      </w:r>
    </w:p>
    <w:p>
      <w:pPr>
        <w:pStyle w:val="Heading2"/>
      </w:pPr>
      <w:r>
        <w:rPr>
          <w:rFonts w:ascii="Times New Roman" w:hAnsi="Times New Roman"/>
          <w:sz w:val="24"/>
        </w:rPr>
        <w:t>Therapeutic Discussion in Plasma Cell Neoplasms</w:t>
      </w:r>
    </w:p>
    <w:p>
      <w:pPr>
        <w:spacing w:after="120"/>
      </w:pPr>
      <w:r>
        <w:rPr>
          <w:rFonts w:ascii="Times New Roman" w:hAnsi="Times New Roman"/>
          <w:sz w:val="22"/>
        </w:rPr>
        <w:t>In multiple myeloma, TP53 abnormalities are less often the first therapeutic decision point than in AML or CLL, but they remain highly relevant to risk framing. The main academic point is that TP53 in myeloma often marks cumulative clonal evolution and genomic complexity rather than isolated pathway activation [14,15]. As a result, TP53 status should be interpreted alongside other high-risk features rather than as a stand-alone binary variable.</w:t>
      </w:r>
    </w:p>
    <w:p>
      <w:pPr>
        <w:spacing w:after="120"/>
      </w:pPr>
      <w:r>
        <w:rPr>
          <w:rFonts w:ascii="Times New Roman" w:hAnsi="Times New Roman"/>
          <w:sz w:val="22"/>
        </w:rPr>
        <w:t>This has practical implications for escalation of monitoring, earlier consideration of advanced therapies, and realistic counselling regarding durability of response. Although the local source base is not designed to provide a TP53-specific treatment algorithm in myeloma, it strongly supports the principle that TP53 contributes to recognition of biologically high-risk disease that may require earlier movement beyond standard sequential therapy logic [14,15,20].</w:t>
      </w:r>
    </w:p>
    <w:p>
      <w:pPr>
        <w:pStyle w:val="Heading1"/>
      </w:pPr>
      <w:r>
        <w:rPr>
          <w:rFonts w:ascii="Times New Roman" w:hAnsi="Times New Roman"/>
          <w:sz w:val="28"/>
        </w:rPr>
        <w:t>Table 1. Disease-Specific Clinical Impact of TP53 Alteration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after="0"/>
            </w:pPr>
            <w:r>
              <w:rPr>
                <w:rFonts w:ascii="Times New Roman" w:hAnsi="Times New Roman"/>
                <w:b/>
                <w:sz w:val="21"/>
              </w:rPr>
              <w:t>Disease group</w:t>
            </w:r>
          </w:p>
        </w:tc>
        <w:tc>
          <w:tcPr>
            <w:tcW w:type="dxa" w:w="1872"/>
          </w:tcPr>
          <w:p>
            <w:pPr>
              <w:spacing w:after="0"/>
            </w:pPr>
            <w:r>
              <w:rPr>
                <w:rFonts w:ascii="Times New Roman" w:hAnsi="Times New Roman"/>
                <w:b/>
                <w:sz w:val="21"/>
              </w:rPr>
              <w:t>Principal role of TP53</w:t>
            </w:r>
          </w:p>
        </w:tc>
        <w:tc>
          <w:tcPr>
            <w:tcW w:type="dxa" w:w="1872"/>
          </w:tcPr>
          <w:p>
            <w:pPr>
              <w:spacing w:after="0"/>
            </w:pPr>
            <w:r>
              <w:rPr>
                <w:rFonts w:ascii="Times New Roman" w:hAnsi="Times New Roman"/>
                <w:b/>
                <w:sz w:val="21"/>
              </w:rPr>
              <w:t>Common associated features</w:t>
            </w:r>
          </w:p>
        </w:tc>
        <w:tc>
          <w:tcPr>
            <w:tcW w:type="dxa" w:w="1872"/>
          </w:tcPr>
          <w:p>
            <w:pPr>
              <w:spacing w:after="0"/>
            </w:pPr>
            <w:r>
              <w:rPr>
                <w:rFonts w:ascii="Times New Roman" w:hAnsi="Times New Roman"/>
                <w:b/>
                <w:sz w:val="21"/>
              </w:rPr>
              <w:t>Prognostic effect</w:t>
            </w:r>
          </w:p>
        </w:tc>
        <w:tc>
          <w:tcPr>
            <w:tcW w:type="dxa" w:w="1872"/>
          </w:tcPr>
          <w:p>
            <w:pPr>
              <w:spacing w:after="0"/>
            </w:pPr>
            <w:r>
              <w:rPr>
                <w:rFonts w:ascii="Times New Roman" w:hAnsi="Times New Roman"/>
                <w:b/>
                <w:sz w:val="21"/>
              </w:rPr>
              <w:t>Therapeutic implication</w:t>
            </w:r>
          </w:p>
        </w:tc>
      </w:tr>
      <w:tr>
        <w:tc>
          <w:tcPr>
            <w:tcW w:type="dxa" w:w="1872"/>
          </w:tcPr>
          <w:p>
            <w:r>
              <w:rPr>
                <w:rFonts w:ascii="Times New Roman" w:hAnsi="Times New Roman"/>
                <w:sz w:val="21"/>
              </w:rPr>
              <w:t>CCUS / early myeloid disease</w:t>
            </w:r>
          </w:p>
        </w:tc>
        <w:tc>
          <w:tcPr>
            <w:tcW w:type="dxa" w:w="1872"/>
          </w:tcPr>
          <w:p>
            <w:r>
              <w:rPr>
                <w:rFonts w:ascii="Times New Roman" w:hAnsi="Times New Roman"/>
                <w:sz w:val="21"/>
              </w:rPr>
              <w:t>Can become MDS-defining when multi-hit at clinically meaningful VAF</w:t>
            </w:r>
          </w:p>
        </w:tc>
        <w:tc>
          <w:tcPr>
            <w:tcW w:type="dxa" w:w="1872"/>
          </w:tcPr>
          <w:p>
            <w:r>
              <w:rPr>
                <w:rFonts w:ascii="Times New Roman" w:hAnsi="Times New Roman"/>
                <w:sz w:val="21"/>
              </w:rPr>
              <w:t>Cytopenia, clonal evolution, transition from indeterminate clonal state</w:t>
            </w:r>
          </w:p>
        </w:tc>
        <w:tc>
          <w:tcPr>
            <w:tcW w:type="dxa" w:w="1872"/>
          </w:tcPr>
          <w:p>
            <w:r>
              <w:rPr>
                <w:rFonts w:ascii="Times New Roman" w:hAnsi="Times New Roman"/>
                <w:sz w:val="21"/>
              </w:rPr>
              <w:t>Increased risk of overt myeloid neoplasm</w:t>
            </w:r>
          </w:p>
        </w:tc>
        <w:tc>
          <w:tcPr>
            <w:tcW w:type="dxa" w:w="1872"/>
          </w:tcPr>
          <w:p>
            <w:r>
              <w:rPr>
                <w:rFonts w:ascii="Times New Roman" w:hAnsi="Times New Roman"/>
                <w:sz w:val="21"/>
              </w:rPr>
              <w:t>Requires closer diagnostic scrutiny and follow-up</w:t>
            </w:r>
          </w:p>
        </w:tc>
      </w:tr>
      <w:tr>
        <w:tc>
          <w:tcPr>
            <w:tcW w:type="dxa" w:w="1872"/>
          </w:tcPr>
          <w:p>
            <w:r>
              <w:rPr>
                <w:rFonts w:ascii="Times New Roman" w:hAnsi="Times New Roman"/>
                <w:sz w:val="21"/>
              </w:rPr>
              <w:t>MDS with mutated TP53</w:t>
            </w:r>
          </w:p>
        </w:tc>
        <w:tc>
          <w:tcPr>
            <w:tcW w:type="dxa" w:w="1872"/>
          </w:tcPr>
          <w:p>
            <w:r>
              <w:rPr>
                <w:rFonts w:ascii="Times New Roman" w:hAnsi="Times New Roman"/>
                <w:sz w:val="21"/>
              </w:rPr>
              <w:t>Disease-defining lesion</w:t>
            </w:r>
          </w:p>
        </w:tc>
        <w:tc>
          <w:tcPr>
            <w:tcW w:type="dxa" w:w="1872"/>
          </w:tcPr>
          <w:p>
            <w:r>
              <w:rPr>
                <w:rFonts w:ascii="Times New Roman" w:hAnsi="Times New Roman"/>
                <w:sz w:val="21"/>
              </w:rPr>
              <w:t>Multi-hit state, complex karyotype, aneuploidy, chromothripsis</w:t>
            </w:r>
          </w:p>
        </w:tc>
        <w:tc>
          <w:tcPr>
            <w:tcW w:type="dxa" w:w="1872"/>
          </w:tcPr>
          <w:p>
            <w:r>
              <w:rPr>
                <w:rFonts w:ascii="Times New Roman" w:hAnsi="Times New Roman"/>
                <w:sz w:val="21"/>
              </w:rPr>
              <w:t>Very poor survival, often about 1 year</w:t>
            </w:r>
          </w:p>
        </w:tc>
        <w:tc>
          <w:tcPr>
            <w:tcW w:type="dxa" w:w="1872"/>
          </w:tcPr>
          <w:p>
            <w:r>
              <w:rPr>
                <w:rFonts w:ascii="Times New Roman" w:hAnsi="Times New Roman"/>
                <w:sz w:val="21"/>
              </w:rPr>
              <w:t>Prioritise trials, remission induction if possible, transplant planning</w:t>
            </w:r>
          </w:p>
        </w:tc>
      </w:tr>
      <w:tr>
        <w:tc>
          <w:tcPr>
            <w:tcW w:type="dxa" w:w="1872"/>
          </w:tcPr>
          <w:p>
            <w:r>
              <w:rPr>
                <w:rFonts w:ascii="Times New Roman" w:hAnsi="Times New Roman"/>
                <w:sz w:val="21"/>
              </w:rPr>
              <w:t>MDS/AML with mutated TP53</w:t>
            </w:r>
          </w:p>
        </w:tc>
        <w:tc>
          <w:tcPr>
            <w:tcW w:type="dxa" w:w="1872"/>
          </w:tcPr>
          <w:p>
            <w:r>
              <w:rPr>
                <w:rFonts w:ascii="Times New Roman" w:hAnsi="Times New Roman"/>
                <w:sz w:val="21"/>
              </w:rPr>
              <w:t>Disease-defining subtype</w:t>
            </w:r>
          </w:p>
        </w:tc>
        <w:tc>
          <w:tcPr>
            <w:tcW w:type="dxa" w:w="1872"/>
          </w:tcPr>
          <w:p>
            <w:r>
              <w:rPr>
                <w:rFonts w:ascii="Times New Roman" w:hAnsi="Times New Roman"/>
                <w:sz w:val="21"/>
              </w:rPr>
              <w:t>10% to 19% blasts, genomic instability, adverse-risk molecular profile</w:t>
            </w:r>
          </w:p>
        </w:tc>
        <w:tc>
          <w:tcPr>
            <w:tcW w:type="dxa" w:w="1872"/>
          </w:tcPr>
          <w:p>
            <w:r>
              <w:rPr>
                <w:rFonts w:ascii="Times New Roman" w:hAnsi="Times New Roman"/>
                <w:sz w:val="21"/>
              </w:rPr>
              <w:t>Median survival commonly 5 to 9 months</w:t>
            </w:r>
          </w:p>
        </w:tc>
        <w:tc>
          <w:tcPr>
            <w:tcW w:type="dxa" w:w="1872"/>
          </w:tcPr>
          <w:p>
            <w:r>
              <w:rPr>
                <w:rFonts w:ascii="Times New Roman" w:hAnsi="Times New Roman"/>
                <w:sz w:val="21"/>
              </w:rPr>
              <w:t>Treat as biologically high-risk, not merely overlap disease</w:t>
            </w:r>
          </w:p>
        </w:tc>
      </w:tr>
      <w:tr>
        <w:tc>
          <w:tcPr>
            <w:tcW w:type="dxa" w:w="1872"/>
          </w:tcPr>
          <w:p>
            <w:r>
              <w:rPr>
                <w:rFonts w:ascii="Times New Roman" w:hAnsi="Times New Roman"/>
                <w:sz w:val="21"/>
              </w:rPr>
              <w:t>AML with mutated TP53</w:t>
            </w:r>
          </w:p>
        </w:tc>
        <w:tc>
          <w:tcPr>
            <w:tcW w:type="dxa" w:w="1872"/>
          </w:tcPr>
          <w:p>
            <w:r>
              <w:rPr>
                <w:rFonts w:ascii="Times New Roman" w:hAnsi="Times New Roman"/>
                <w:sz w:val="21"/>
              </w:rPr>
              <w:t>Disease-defining subtype</w:t>
            </w:r>
          </w:p>
        </w:tc>
        <w:tc>
          <w:tcPr>
            <w:tcW w:type="dxa" w:w="1872"/>
          </w:tcPr>
          <w:p>
            <w:r>
              <w:rPr>
                <w:rFonts w:ascii="Times New Roman" w:hAnsi="Times New Roman"/>
                <w:sz w:val="21"/>
              </w:rPr>
              <w:t>Therapy-related disease, complex karyotype, erythroid-rich disease, older age</w:t>
            </w:r>
          </w:p>
        </w:tc>
        <w:tc>
          <w:tcPr>
            <w:tcW w:type="dxa" w:w="1872"/>
          </w:tcPr>
          <w:p>
            <w:r>
              <w:rPr>
                <w:rFonts w:ascii="Times New Roman" w:hAnsi="Times New Roman"/>
                <w:sz w:val="21"/>
              </w:rPr>
              <w:t>Markedly adverse survival and treatment resistance</w:t>
            </w:r>
          </w:p>
        </w:tc>
        <w:tc>
          <w:tcPr>
            <w:tcW w:type="dxa" w:w="1872"/>
          </w:tcPr>
          <w:p>
            <w:r>
              <w:rPr>
                <w:rFonts w:ascii="Times New Roman" w:hAnsi="Times New Roman"/>
                <w:sz w:val="21"/>
              </w:rPr>
              <w:t>Standard regimens underperform; trial-first approach preferred</w:t>
            </w:r>
          </w:p>
        </w:tc>
      </w:tr>
      <w:tr>
        <w:tc>
          <w:tcPr>
            <w:tcW w:type="dxa" w:w="1872"/>
          </w:tcPr>
          <w:p>
            <w:r>
              <w:rPr>
                <w:rFonts w:ascii="Times New Roman" w:hAnsi="Times New Roman"/>
                <w:sz w:val="21"/>
              </w:rPr>
              <w:t>CLL/SLL</w:t>
            </w:r>
          </w:p>
        </w:tc>
        <w:tc>
          <w:tcPr>
            <w:tcW w:type="dxa" w:w="1872"/>
          </w:tcPr>
          <w:p>
            <w:r>
              <w:rPr>
                <w:rFonts w:ascii="Times New Roman" w:hAnsi="Times New Roman"/>
                <w:sz w:val="21"/>
              </w:rPr>
              <w:t>High-risk biomarker</w:t>
            </w:r>
          </w:p>
        </w:tc>
        <w:tc>
          <w:tcPr>
            <w:tcW w:type="dxa" w:w="1872"/>
          </w:tcPr>
          <w:p>
            <w:r>
              <w:rPr>
                <w:rFonts w:ascii="Times New Roman" w:hAnsi="Times New Roman"/>
                <w:sz w:val="21"/>
              </w:rPr>
              <w:t>Del(17p), subclonal evolution, post-treatment selection</w:t>
            </w:r>
          </w:p>
        </w:tc>
        <w:tc>
          <w:tcPr>
            <w:tcW w:type="dxa" w:w="1872"/>
          </w:tcPr>
          <w:p>
            <w:r>
              <w:rPr>
                <w:rFonts w:ascii="Times New Roman" w:hAnsi="Times New Roman"/>
                <w:sz w:val="21"/>
              </w:rPr>
              <w:t>Shorter remission, adverse course</w:t>
            </w:r>
          </w:p>
        </w:tc>
        <w:tc>
          <w:tcPr>
            <w:tcW w:type="dxa" w:w="1872"/>
          </w:tcPr>
          <w:p>
            <w:r>
              <w:rPr>
                <w:rFonts w:ascii="Times New Roman" w:hAnsi="Times New Roman"/>
                <w:sz w:val="21"/>
              </w:rPr>
              <w:t>Favours targeted over chemoimmunotherapy strategies</w:t>
            </w:r>
          </w:p>
        </w:tc>
      </w:tr>
      <w:tr>
        <w:tc>
          <w:tcPr>
            <w:tcW w:type="dxa" w:w="1872"/>
          </w:tcPr>
          <w:p>
            <w:r>
              <w:rPr>
                <w:rFonts w:ascii="Times New Roman" w:hAnsi="Times New Roman"/>
                <w:sz w:val="21"/>
              </w:rPr>
              <w:t>Richter transformation</w:t>
            </w:r>
          </w:p>
        </w:tc>
        <w:tc>
          <w:tcPr>
            <w:tcW w:type="dxa" w:w="1872"/>
          </w:tcPr>
          <w:p>
            <w:r>
              <w:rPr>
                <w:rFonts w:ascii="Times New Roman" w:hAnsi="Times New Roman"/>
                <w:sz w:val="21"/>
              </w:rPr>
              <w:t>Transformation-associated lesion</w:t>
            </w:r>
          </w:p>
        </w:tc>
        <w:tc>
          <w:tcPr>
            <w:tcW w:type="dxa" w:w="1872"/>
          </w:tcPr>
          <w:p>
            <w:r>
              <w:rPr>
                <w:rFonts w:ascii="Times New Roman" w:hAnsi="Times New Roman"/>
                <w:sz w:val="21"/>
              </w:rPr>
              <w:t>TP53 plus CDKN2A/CDKN2B and other aggressive lesions</w:t>
            </w:r>
          </w:p>
        </w:tc>
        <w:tc>
          <w:tcPr>
            <w:tcW w:type="dxa" w:w="1872"/>
          </w:tcPr>
          <w:p>
            <w:r>
              <w:rPr>
                <w:rFonts w:ascii="Times New Roman" w:hAnsi="Times New Roman"/>
                <w:sz w:val="21"/>
              </w:rPr>
              <w:t>Strongly adverse</w:t>
            </w:r>
          </w:p>
        </w:tc>
        <w:tc>
          <w:tcPr>
            <w:tcW w:type="dxa" w:w="1872"/>
          </w:tcPr>
          <w:p>
            <w:r>
              <w:rPr>
                <w:rFonts w:ascii="Times New Roman" w:hAnsi="Times New Roman"/>
                <w:sz w:val="21"/>
              </w:rPr>
              <w:t>Supports early recognition of aggressive biology</w:t>
            </w:r>
          </w:p>
        </w:tc>
      </w:tr>
      <w:tr>
        <w:tc>
          <w:tcPr>
            <w:tcW w:type="dxa" w:w="1872"/>
          </w:tcPr>
          <w:p>
            <w:r>
              <w:rPr>
                <w:rFonts w:ascii="Times New Roman" w:hAnsi="Times New Roman"/>
                <w:sz w:val="21"/>
              </w:rPr>
              <w:t>Mantle cell lymphoma</w:t>
            </w:r>
          </w:p>
        </w:tc>
        <w:tc>
          <w:tcPr>
            <w:tcW w:type="dxa" w:w="1872"/>
          </w:tcPr>
          <w:p>
            <w:r>
              <w:rPr>
                <w:rFonts w:ascii="Times New Roman" w:hAnsi="Times New Roman"/>
                <w:sz w:val="21"/>
              </w:rPr>
              <w:t>High-risk biomarker linked to aggressive variants</w:t>
            </w:r>
          </w:p>
        </w:tc>
        <w:tc>
          <w:tcPr>
            <w:tcW w:type="dxa" w:w="1872"/>
          </w:tcPr>
          <w:p>
            <w:r>
              <w:rPr>
                <w:rFonts w:ascii="Times New Roman" w:hAnsi="Times New Roman"/>
                <w:sz w:val="21"/>
              </w:rPr>
              <w:t>Blastoid/pleomorphic morphology, high Ki-67, complex genetics</w:t>
            </w:r>
          </w:p>
        </w:tc>
        <w:tc>
          <w:tcPr>
            <w:tcW w:type="dxa" w:w="1872"/>
          </w:tcPr>
          <w:p>
            <w:r>
              <w:rPr>
                <w:rFonts w:ascii="Times New Roman" w:hAnsi="Times New Roman"/>
                <w:sz w:val="21"/>
              </w:rPr>
              <w:t>Poor outcomes despite intensive therapy</w:t>
            </w:r>
          </w:p>
        </w:tc>
        <w:tc>
          <w:tcPr>
            <w:tcW w:type="dxa" w:w="1872"/>
          </w:tcPr>
          <w:p>
            <w:r>
              <w:rPr>
                <w:rFonts w:ascii="Times New Roman" w:hAnsi="Times New Roman"/>
                <w:sz w:val="21"/>
              </w:rPr>
              <w:t>TP53 should temper expectations from chemo-intensification</w:t>
            </w:r>
          </w:p>
        </w:tc>
      </w:tr>
      <w:tr>
        <w:tc>
          <w:tcPr>
            <w:tcW w:type="dxa" w:w="1872"/>
          </w:tcPr>
          <w:p>
            <w:r>
              <w:rPr>
                <w:rFonts w:ascii="Times New Roman" w:hAnsi="Times New Roman"/>
                <w:sz w:val="21"/>
              </w:rPr>
              <w:t>Multiple myeloma</w:t>
            </w:r>
          </w:p>
        </w:tc>
        <w:tc>
          <w:tcPr>
            <w:tcW w:type="dxa" w:w="1872"/>
          </w:tcPr>
          <w:p>
            <w:r>
              <w:rPr>
                <w:rFonts w:ascii="Times New Roman" w:hAnsi="Times New Roman"/>
                <w:sz w:val="21"/>
              </w:rPr>
              <w:t>Marker of high-risk progression biology</w:t>
            </w:r>
          </w:p>
        </w:tc>
        <w:tc>
          <w:tcPr>
            <w:tcW w:type="dxa" w:w="1872"/>
          </w:tcPr>
          <w:p>
            <w:r>
              <w:rPr>
                <w:rFonts w:ascii="Times New Roman" w:hAnsi="Times New Roman"/>
                <w:sz w:val="21"/>
              </w:rPr>
              <w:t>Del(17p), relapsed disease, genomic complexity</w:t>
            </w:r>
          </w:p>
        </w:tc>
        <w:tc>
          <w:tcPr>
            <w:tcW w:type="dxa" w:w="1872"/>
          </w:tcPr>
          <w:p>
            <w:r>
              <w:rPr>
                <w:rFonts w:ascii="Times New Roman" w:hAnsi="Times New Roman"/>
                <w:sz w:val="21"/>
              </w:rPr>
              <w:t>Adverse-risk disease</w:t>
            </w:r>
          </w:p>
        </w:tc>
        <w:tc>
          <w:tcPr>
            <w:tcW w:type="dxa" w:w="1872"/>
          </w:tcPr>
          <w:p>
            <w:r>
              <w:rPr>
                <w:rFonts w:ascii="Times New Roman" w:hAnsi="Times New Roman"/>
                <w:sz w:val="21"/>
              </w:rPr>
              <w:t>Supports risk-adapted management and advanced therapy consideration</w:t>
            </w:r>
          </w:p>
        </w:tc>
      </w:tr>
    </w:tbl>
    <w:p/>
    <w:p>
      <w:pPr>
        <w:pStyle w:val="Heading1"/>
      </w:pPr>
      <w:r>
        <w:rPr>
          <w:rFonts w:ascii="Times New Roman" w:hAnsi="Times New Roman"/>
          <w:sz w:val="28"/>
        </w:rPr>
        <w:t>Table 2. Practical Interpretation Rules</w:t>
      </w:r>
    </w:p>
    <w:tbl>
      <w:tblPr>
        <w:tblStyle w:val="TableGrid"/>
        <w:tblW w:type="auto" w:w="0"/>
        <w:tblLook w:firstColumn="1" w:firstRow="1" w:lastColumn="0" w:lastRow="0" w:noHBand="0" w:noVBand="1" w:val="04A0"/>
      </w:tblPr>
      <w:tblGrid>
        <w:gridCol w:w="4680"/>
        <w:gridCol w:w="4680"/>
      </w:tblGrid>
      <w:tr>
        <w:tc>
          <w:tcPr>
            <w:tcW w:type="dxa" w:w="4680"/>
          </w:tcPr>
          <w:p>
            <w:pPr>
              <w:spacing w:after="0"/>
            </w:pPr>
            <w:r>
              <w:rPr>
                <w:rFonts w:ascii="Times New Roman" w:hAnsi="Times New Roman"/>
                <w:b/>
                <w:sz w:val="21"/>
              </w:rPr>
              <w:t>Clinical scenario</w:t>
            </w:r>
          </w:p>
        </w:tc>
        <w:tc>
          <w:tcPr>
            <w:tcW w:type="dxa" w:w="4680"/>
          </w:tcPr>
          <w:p>
            <w:pPr>
              <w:spacing w:after="0"/>
            </w:pPr>
            <w:r>
              <w:rPr>
                <w:rFonts w:ascii="Times New Roman" w:hAnsi="Times New Roman"/>
                <w:b/>
                <w:sz w:val="21"/>
              </w:rPr>
              <w:t>Practical interpretation</w:t>
            </w:r>
          </w:p>
        </w:tc>
      </w:tr>
      <w:tr>
        <w:tc>
          <w:tcPr>
            <w:tcW w:type="dxa" w:w="4680"/>
          </w:tcPr>
          <w:p>
            <w:r>
              <w:rPr>
                <w:rFonts w:ascii="Times New Roman" w:hAnsi="Times New Roman"/>
                <w:sz w:val="21"/>
              </w:rPr>
              <w:t>Single low-level TP53-mutant clone in otherwise indeterminate clonal haematopoiesis</w:t>
            </w:r>
          </w:p>
        </w:tc>
        <w:tc>
          <w:tcPr>
            <w:tcW w:type="dxa" w:w="4680"/>
          </w:tcPr>
          <w:p>
            <w:r>
              <w:rPr>
                <w:rFonts w:ascii="Times New Roman" w:hAnsi="Times New Roman"/>
                <w:sz w:val="21"/>
              </w:rPr>
              <w:t>Do not assume overt malignancy without context; integrate VAF, cytopenias, morphology, and allelic state</w:t>
            </w:r>
          </w:p>
        </w:tc>
      </w:tr>
      <w:tr>
        <w:tc>
          <w:tcPr>
            <w:tcW w:type="dxa" w:w="4680"/>
          </w:tcPr>
          <w:p>
            <w:r>
              <w:rPr>
                <w:rFonts w:ascii="Times New Roman" w:hAnsi="Times New Roman"/>
                <w:sz w:val="21"/>
              </w:rPr>
              <w:t>Multi-hit TP53 in cytopenic myeloid disease</w:t>
            </w:r>
          </w:p>
        </w:tc>
        <w:tc>
          <w:tcPr>
            <w:tcW w:type="dxa" w:w="4680"/>
          </w:tcPr>
          <w:p>
            <w:r>
              <w:rPr>
                <w:rFonts w:ascii="Times New Roman" w:hAnsi="Times New Roman"/>
                <w:sz w:val="21"/>
              </w:rPr>
              <w:t>Treat as potentially disease-defining rather than incidental</w:t>
            </w:r>
          </w:p>
        </w:tc>
      </w:tr>
      <w:tr>
        <w:tc>
          <w:tcPr>
            <w:tcW w:type="dxa" w:w="4680"/>
          </w:tcPr>
          <w:p>
            <w:r>
              <w:rPr>
                <w:rFonts w:ascii="Times New Roman" w:hAnsi="Times New Roman"/>
                <w:sz w:val="21"/>
              </w:rPr>
              <w:t>TP53 mutation with complex karyotype in MDS/AML or AML</w:t>
            </w:r>
          </w:p>
        </w:tc>
        <w:tc>
          <w:tcPr>
            <w:tcW w:type="dxa" w:w="4680"/>
          </w:tcPr>
          <w:p>
            <w:r>
              <w:rPr>
                <w:rFonts w:ascii="Times New Roman" w:hAnsi="Times New Roman"/>
                <w:sz w:val="21"/>
              </w:rPr>
              <w:t>Favour classification as biologically distinct high-risk disease</w:t>
            </w:r>
          </w:p>
        </w:tc>
      </w:tr>
      <w:tr>
        <w:tc>
          <w:tcPr>
            <w:tcW w:type="dxa" w:w="4680"/>
          </w:tcPr>
          <w:p>
            <w:r>
              <w:rPr>
                <w:rFonts w:ascii="Times New Roman" w:hAnsi="Times New Roman"/>
                <w:sz w:val="21"/>
              </w:rPr>
              <w:t>TP53 abnormality in relapsed lymphoid or plasma cell disease</w:t>
            </w:r>
          </w:p>
        </w:tc>
        <w:tc>
          <w:tcPr>
            <w:tcW w:type="dxa" w:w="4680"/>
          </w:tcPr>
          <w:p>
            <w:r>
              <w:rPr>
                <w:rFonts w:ascii="Times New Roman" w:hAnsi="Times New Roman"/>
                <w:sz w:val="21"/>
              </w:rPr>
              <w:t>Consider clonal evolution, treatment selection pressure, and transformation risk</w:t>
            </w:r>
          </w:p>
        </w:tc>
      </w:tr>
      <w:tr>
        <w:tc>
          <w:tcPr>
            <w:tcW w:type="dxa" w:w="4680"/>
          </w:tcPr>
          <w:p>
            <w:r>
              <w:rPr>
                <w:rFonts w:ascii="Times New Roman" w:hAnsi="Times New Roman"/>
                <w:sz w:val="21"/>
              </w:rPr>
              <w:t>Possible germline TP53 context</w:t>
            </w:r>
          </w:p>
        </w:tc>
        <w:tc>
          <w:tcPr>
            <w:tcW w:type="dxa" w:w="4680"/>
          </w:tcPr>
          <w:p>
            <w:r>
              <w:rPr>
                <w:rFonts w:ascii="Times New Roman" w:hAnsi="Times New Roman"/>
                <w:sz w:val="21"/>
              </w:rPr>
              <w:t>Assess family history, age, tumour spectrum, and transplant-donor implications</w:t>
            </w:r>
          </w:p>
        </w:tc>
      </w:tr>
    </w:tbl>
    <w:p/>
    <w:p>
      <w:pPr>
        <w:pStyle w:val="Heading1"/>
      </w:pPr>
      <w:r>
        <w:rPr>
          <w:rFonts w:ascii="Times New Roman" w:hAnsi="Times New Roman"/>
          <w:sz w:val="28"/>
        </w:rPr>
        <w:t>Critical Appraisal and Unresolved Questions</w:t>
      </w:r>
    </w:p>
    <w:p>
      <w:pPr>
        <w:spacing w:after="120"/>
      </w:pPr>
      <w:r>
        <w:rPr>
          <w:rFonts w:ascii="Times New Roman" w:hAnsi="Times New Roman"/>
          <w:sz w:val="22"/>
        </w:rPr>
        <w:t>Several uncertainties remain despite the strength of the adverse TP53 signal. First, the optimal integration of allelic state and VAF into routine prognostic modelling is still unsettled, particularly once patients cross from lower-blast MDS into MDS/AML or AML. Second, the available evidence consistently shows poor outcomes with current standards, but it is less clear which therapeutic endpoint is most meaningful for TP53-mutated disease: morphologic remission, molecular remission, transplant eligibility, or durable suppression of the dominant clone [1-6].</w:t>
      </w:r>
    </w:p>
    <w:p>
      <w:pPr>
        <w:spacing w:after="120"/>
      </w:pPr>
      <w:r>
        <w:rPr>
          <w:rFonts w:ascii="Times New Roman" w:hAnsi="Times New Roman"/>
          <w:sz w:val="22"/>
        </w:rPr>
        <w:t>Third, TP53 should not be overinterpreted outside disease context. A low-level TP53-mutant clone in clonal haematopoiesis is not biologically equivalent to multi-hit TP53-mutated MDS, and TP53 loss in high-risk myeloma is not functionally identical to TP53-associated Richter transformation. The shared adverse direction of effect is real, but the underlying disease-state meaning remains lineage-specific. This is precisely why modern interpretation must be disease-anchored rather than mutation-anchored.</w:t>
      </w:r>
    </w:p>
    <w:p>
      <w:pPr>
        <w:pStyle w:val="Heading1"/>
      </w:pPr>
      <w:r>
        <w:rPr>
          <w:rFonts w:ascii="Times New Roman" w:hAnsi="Times New Roman"/>
          <w:sz w:val="28"/>
        </w:rPr>
        <w:t>Future Directions</w:t>
      </w:r>
    </w:p>
    <w:p>
      <w:pPr>
        <w:spacing w:after="120"/>
      </w:pPr>
      <w:r>
        <w:rPr>
          <w:rFonts w:ascii="Times New Roman" w:hAnsi="Times New Roman"/>
          <w:sz w:val="22"/>
        </w:rPr>
        <w:t>Three themes dominate the next phase of TP53-focused haematology. First, classification will likely continue to move from morphology-first to molecular-state-first disease definition, particularly in the MDS/AML boundary zone. The current trajectory strongly suggests further refinement by allelic state, genomic complexity, and possibly mutation phenotype rather than by blast percentage alone [1-6].</w:t>
      </w:r>
    </w:p>
    <w:p>
      <w:pPr>
        <w:spacing w:after="120"/>
      </w:pPr>
      <w:r>
        <w:rPr>
          <w:rFonts w:ascii="Times New Roman" w:hAnsi="Times New Roman"/>
          <w:sz w:val="22"/>
        </w:rPr>
        <w:t>Second, therapeutic development increasingly depends on trial designs that recognise TP53-mutated disease as a distinct biological population rather than a minor subgroup within broader diagnoses. Future studies should report not only response rates, but also clone-level endpoints, duration of molecular control, and post-transplant relapse patterns. Without this, apparently encouraging remission rates may continue to overstate clinical benefit in TP53-mutated disease [2-5,16].</w:t>
      </w:r>
    </w:p>
    <w:p>
      <w:pPr>
        <w:spacing w:after="120"/>
      </w:pPr>
      <w:r>
        <w:rPr>
          <w:rFonts w:ascii="Times New Roman" w:hAnsi="Times New Roman"/>
          <w:sz w:val="22"/>
        </w:rPr>
        <w:t>Third, deeper integration of VAF, copy number state, and clonal architecture should improve risk modelling beyond the current binary mutation framework. Serial sequencing, better copy-number-aware assays, and prospective incorporation of dynamic molecular metrics may ultimately allow a more precise distinction between biologically dominant TP53 lesions and lower-level incidental clones [1-6,17].</w:t>
      </w:r>
    </w:p>
    <w:p>
      <w:pPr>
        <w:spacing w:after="120"/>
      </w:pPr>
      <w:r>
        <w:rPr>
          <w:rFonts w:ascii="Times New Roman" w:hAnsi="Times New Roman"/>
          <w:sz w:val="22"/>
        </w:rPr>
        <w:t>Finally, disease-specific rather than pan-haematology thinking will remain essential. Although TP53 is a unifying adverse signal across blood cancers, the next useful advance is unlikely to be a single universal TP53 algorithm. It is more likely to be a set of lineage-specific models that place TP53 within the relevant therapeutic and biological ecosystem of each disease.</w:t>
      </w:r>
    </w:p>
    <w:p>
      <w:pPr>
        <w:pStyle w:val="Heading1"/>
      </w:pPr>
      <w:r>
        <w:rPr>
          <w:rFonts w:ascii="Times New Roman" w:hAnsi="Times New Roman"/>
          <w:sz w:val="28"/>
        </w:rPr>
        <w:t>Limitations</w:t>
      </w:r>
    </w:p>
    <w:p>
      <w:pPr>
        <w:spacing w:after="120"/>
      </w:pPr>
      <w:r>
        <w:rPr>
          <w:rFonts w:ascii="Times New Roman" w:hAnsi="Times New Roman"/>
          <w:sz w:val="22"/>
        </w:rPr>
        <w:t>This manuscript is derived from the local ICC chapter corpus and the primary references cited within those chapters. It is therefore strongest as a classification-centred narrative synthesis and not as a full systematic review of all recent therapeutic trials. Disease coverage is intentionally weighted toward myeloid neoplasms because those were the most detailed TP53-specific chapters in the source set.</w:t>
      </w:r>
    </w:p>
    <w:p>
      <w:pPr>
        <w:pStyle w:val="Heading1"/>
      </w:pPr>
      <w:r>
        <w:rPr>
          <w:rFonts w:ascii="Times New Roman" w:hAnsi="Times New Roman"/>
          <w:sz w:val="28"/>
        </w:rPr>
        <w:t>Conclusion</w:t>
      </w:r>
    </w:p>
    <w:p>
      <w:pPr>
        <w:spacing w:after="120"/>
      </w:pPr>
      <w:r>
        <w:rPr>
          <w:rFonts w:ascii="Times New Roman" w:hAnsi="Times New Roman"/>
          <w:sz w:val="22"/>
        </w:rPr>
        <w:t>TP53 is one of the few genomic lesions in haematology that can function as classifier, transformer, prognostic marker, and therapeutic decision signal depending on context. Its most profound impact is in myeloid neoplasia, where it now defines distinct disease entities and identifies a biologically coherent group characterised by genomic instability, poor response to standard therapy, and short survival. In lymphoid and plasma cell neoplasms, TP53 more often acts as a high-risk modifier, but the message is consistent: TP53 marks evolutionary escape, aggressive behaviour, and reduced responsiveness to conventional management. Clinically, TP53 should therefore be treated as a contextual disease-state marker rather than a generic mutation result.</w:t>
      </w:r>
    </w:p>
    <w:p>
      <w:pPr>
        <w:pStyle w:val="Heading1"/>
      </w:pPr>
      <w:r>
        <w:rPr>
          <w:rFonts w:ascii="Times New Roman" w:hAnsi="Times New Roman"/>
          <w:sz w:val="28"/>
        </w:rPr>
        <w:t>References</w:t>
      </w:r>
    </w:p>
    <w:p>
      <w:pPr>
        <w:pStyle w:val="ListNumber"/>
      </w:pPr>
      <w:r>
        <w:rPr>
          <w:rFonts w:ascii="Times New Roman" w:hAnsi="Times New Roman"/>
          <w:sz w:val="22"/>
        </w:rPr>
        <w:t>Bernard E, Nannya Y, Hasserjian RP, et al. Implications of TP53 allelic state for genome stability, clinical presentation and outcomes in myelodysplastic syndromes. Nat Med. 2020;26(10):1549-1556.</w:t>
      </w:r>
    </w:p>
    <w:p>
      <w:pPr>
        <w:pStyle w:val="ListNumber"/>
      </w:pPr>
      <w:r>
        <w:rPr>
          <w:rFonts w:ascii="Times New Roman" w:hAnsi="Times New Roman"/>
          <w:sz w:val="22"/>
        </w:rPr>
        <w:t>Daver NG, Maiti A, Kadia TM, et al. TP53-Mutated myelodysplastic syndrome and acute myeloid leukemia: biology, current therapy, and future directions. Cancer Discov. 2022;12(11):2516-2529.</w:t>
      </w:r>
    </w:p>
    <w:p>
      <w:pPr>
        <w:pStyle w:val="ListNumber"/>
      </w:pPr>
      <w:r>
        <w:rPr>
          <w:rFonts w:ascii="Times New Roman" w:hAnsi="Times New Roman"/>
          <w:sz w:val="22"/>
        </w:rPr>
        <w:t>Grob T, Al Hinai ASA, Sanders MA, et al. Molecular characterization of mutant TP53 acute myeloid leukemia and high-risk myelodysplastic syndrome. Blood. 2022;139(15):2347-2354.</w:t>
      </w:r>
    </w:p>
    <w:p>
      <w:pPr>
        <w:pStyle w:val="ListNumber"/>
      </w:pPr>
      <w:r>
        <w:rPr>
          <w:rFonts w:ascii="Times New Roman" w:hAnsi="Times New Roman"/>
          <w:sz w:val="22"/>
        </w:rPr>
        <w:t>Weinberg OK, Siddon A, Madanat YF, et al. TP53 mutation defines a unique subgroup within complex karyotype de novo and therapy-related MDS/AML. Blood Adv. 2022;6(9):2847-2853.</w:t>
      </w:r>
    </w:p>
    <w:p>
      <w:pPr>
        <w:pStyle w:val="ListNumber"/>
      </w:pPr>
      <w:r>
        <w:rPr>
          <w:rFonts w:ascii="Times New Roman" w:hAnsi="Times New Roman"/>
          <w:sz w:val="22"/>
        </w:rPr>
        <w:t>Stengel A, Meggendorfer M, Walter W, et al. Interplay of TP53 allelic state, blast count and complex karyotype on survival of patients with AML and MDS. Blood Adv. 2023;7(18):5540-5548.</w:t>
      </w:r>
    </w:p>
    <w:p>
      <w:pPr>
        <w:pStyle w:val="ListNumber"/>
      </w:pPr>
      <w:r>
        <w:rPr>
          <w:rFonts w:ascii="Times New Roman" w:hAnsi="Times New Roman"/>
          <w:sz w:val="22"/>
        </w:rPr>
        <w:t>Sallman DA, Komrokji R, Vaupel C, et al. Impact of TP53 mutation variant allele frequency on phenotype and outcomes in myelodysplastic syndromes. Leukemia. 2016;30(3):666-673.</w:t>
      </w:r>
    </w:p>
    <w:p>
      <w:pPr>
        <w:pStyle w:val="ListNumber"/>
      </w:pPr>
      <w:r>
        <w:rPr>
          <w:rFonts w:ascii="Times New Roman" w:hAnsi="Times New Roman"/>
          <w:sz w:val="22"/>
        </w:rPr>
        <w:t>Hou HA, Chou WC, Kuo YY, et al. TP53 mutations in de novo acute myeloid leukemia patients: longitudinal follow-ups show the mutation is stable during disease evolution. Blood Cancer J. 2015;5(7):e331.</w:t>
      </w:r>
    </w:p>
    <w:p>
      <w:pPr>
        <w:pStyle w:val="ListNumber"/>
      </w:pPr>
      <w:r>
        <w:rPr>
          <w:rFonts w:ascii="Times New Roman" w:hAnsi="Times New Roman"/>
          <w:sz w:val="22"/>
        </w:rPr>
        <w:t>Wong TN, Ramsingh G, Young AL, et al. Role of TP53 mutations in the origin and evolution of therapy-related acute myeloid leukaemia. Nature. 2015;518(7540):552-555.</w:t>
      </w:r>
    </w:p>
    <w:p>
      <w:pPr>
        <w:pStyle w:val="ListNumber"/>
      </w:pPr>
      <w:r>
        <w:rPr>
          <w:rFonts w:ascii="Times New Roman" w:hAnsi="Times New Roman"/>
          <w:sz w:val="22"/>
        </w:rPr>
        <w:t>Rossi D, Khiabanian H, Spina V, et al. Clinical impact of small TP53 mutated subclones in chronic lymphocytic leukemia. Blood. 2014;123(14):2139-2147.</w:t>
      </w:r>
    </w:p>
    <w:p>
      <w:pPr>
        <w:pStyle w:val="ListNumber"/>
      </w:pPr>
      <w:r>
        <w:rPr>
          <w:rFonts w:ascii="Times New Roman" w:hAnsi="Times New Roman"/>
          <w:sz w:val="22"/>
        </w:rPr>
        <w:t>Chakraborty S, Martines C, Porro F, et al. B-cell receptor signaling and genetic lesions in TP53 and CDKN2A/CDKN2B cooperate in Richter transformation. Blood. 2021;138(12):1053-1066.</w:t>
      </w:r>
    </w:p>
    <w:p>
      <w:pPr>
        <w:pStyle w:val="ListNumber"/>
      </w:pPr>
      <w:r>
        <w:rPr>
          <w:rFonts w:ascii="Times New Roman" w:hAnsi="Times New Roman"/>
          <w:sz w:val="22"/>
        </w:rPr>
        <w:t>Delfau-Larue MH, Klapper W, Berger F, et al. High-dose cytarabine does not overcome the adverse prognostic value of CDKN2A and TP53 deletions in mantle cell lymphoma. Blood. 2015;126(5):604-611.</w:t>
      </w:r>
    </w:p>
    <w:p>
      <w:pPr>
        <w:pStyle w:val="ListNumber"/>
      </w:pPr>
      <w:r>
        <w:rPr>
          <w:rFonts w:ascii="Times New Roman" w:hAnsi="Times New Roman"/>
          <w:sz w:val="22"/>
        </w:rPr>
        <w:t>Eskelund CW, Dahl C, Hansen JW, et al. TP53 mutations identify younger mantle cell lymphoma patients who do not benefit from intensive chemoimmunotherapy. Blood. 2017;130(17):1903-1910.</w:t>
      </w:r>
    </w:p>
    <w:p>
      <w:pPr>
        <w:pStyle w:val="ListNumber"/>
      </w:pPr>
      <w:r>
        <w:rPr>
          <w:rFonts w:ascii="Times New Roman" w:hAnsi="Times New Roman"/>
          <w:sz w:val="22"/>
        </w:rPr>
        <w:t>Ferrero S, Rossi D, Rinaldi A, et al. KMT2D mutations and TP53 disruptions are poor prognostic biomarkers in mantle cell lymphoma receiving high-dose therapy: a FIL study. Haematologica. 2020;105(6):1604-1612.</w:t>
      </w:r>
    </w:p>
    <w:p>
      <w:pPr>
        <w:pStyle w:val="ListNumber"/>
      </w:pPr>
      <w:r>
        <w:rPr>
          <w:rFonts w:ascii="Times New Roman" w:hAnsi="Times New Roman"/>
          <w:sz w:val="22"/>
        </w:rPr>
        <w:t>Manier S, Salem KZ, Park J, Landau DA, Ge G, Ghobrial IM. Genomic complexity of multiple myeloma and its clinical implications. Nat Rev Clin Oncol. 2017;14(2):100-113.</w:t>
      </w:r>
    </w:p>
    <w:p>
      <w:pPr>
        <w:pStyle w:val="ListNumber"/>
      </w:pPr>
      <w:r>
        <w:rPr>
          <w:rFonts w:ascii="Times New Roman" w:hAnsi="Times New Roman"/>
          <w:sz w:val="22"/>
        </w:rPr>
        <w:t>Pawlyn C, Morgan GJ. Evolutionary biology of high-risk multiple myeloma. Nat Rev Cancer. 2017;17(9):543-556.</w:t>
      </w:r>
    </w:p>
    <w:p>
      <w:pPr>
        <w:pStyle w:val="ListNumber"/>
      </w:pPr>
      <w:r>
        <w:rPr>
          <w:rFonts w:ascii="Times New Roman" w:hAnsi="Times New Roman"/>
          <w:sz w:val="22"/>
        </w:rPr>
        <w:t>Granowicz EM, Jonas BA. Targeting TP53-mutated acute myeloid leukemia: research and clinical developments. OncoTargets Ther. 2022;15:423-436.</w:t>
      </w:r>
    </w:p>
    <w:p>
      <w:pPr>
        <w:pStyle w:val="ListNumber"/>
      </w:pPr>
      <w:r>
        <w:rPr>
          <w:rFonts w:ascii="Times New Roman" w:hAnsi="Times New Roman"/>
          <w:sz w:val="22"/>
        </w:rPr>
        <w:t>Tashakori M, Kadia T, Loghavi S, et al. TP53 copy number and protein expression inform mutation status across risk categories in acute myeloid leukemia. Blood. 2022;140(1):58-72.</w:t>
      </w:r>
    </w:p>
    <w:p>
      <w:pPr>
        <w:pStyle w:val="ListNumber"/>
      </w:pPr>
      <w:r>
        <w:rPr>
          <w:rFonts w:ascii="Times New Roman" w:hAnsi="Times New Roman"/>
          <w:sz w:val="22"/>
        </w:rPr>
        <w:t>Condoluci A, Rossi D. Biology and treatment of Richter transformation. Front Oncol. 2022;12:829983.</w:t>
      </w:r>
    </w:p>
    <w:p>
      <w:pPr>
        <w:pStyle w:val="ListNumber"/>
      </w:pPr>
      <w:r>
        <w:rPr>
          <w:rFonts w:ascii="Times New Roman" w:hAnsi="Times New Roman"/>
          <w:sz w:val="22"/>
        </w:rPr>
        <w:t>Scheubeck G, Jiang L, Hermine O, et al. Clinical outcome of mantle cell lymphoma patients with high-risk disease (high-risk MIPI-c or high p53 expression). Leukemia. 2023;37(9):1887-1894.</w:t>
      </w:r>
    </w:p>
    <w:p>
      <w:pPr>
        <w:pStyle w:val="ListNumber"/>
      </w:pPr>
      <w:r>
        <w:rPr>
          <w:rFonts w:ascii="Times New Roman" w:hAnsi="Times New Roman"/>
          <w:sz w:val="22"/>
        </w:rPr>
        <w:t>Holstein SA, Grant SJ, Wildes TM. Chimeric antigen receptor T-cell and bispecific antibody therapy in multiple myeloma: moving into the future. J Clin Oncol. 2023;41(27):4416-4429.</w:t>
      </w:r>
    </w:p>
    <w:p>
      <w:pPr>
        <w:pStyle w:val="Heading1"/>
      </w:pPr>
      <w:r>
        <w:rPr>
          <w:rFonts w:ascii="Times New Roman" w:hAnsi="Times New Roman"/>
          <w:sz w:val="28"/>
        </w:rPr>
        <w:t>Provenance Note</w:t>
      </w:r>
    </w:p>
    <w:p>
      <w:pPr>
        <w:spacing w:after="120"/>
        <w:ind w:hanging="360" w:left="360"/>
      </w:pPr>
      <w:r>
        <w:rPr>
          <w:rFonts w:ascii="Times New Roman" w:hAnsi="Times New Roman"/>
          <w:sz w:val="22"/>
        </w:rPr>
        <w:t>This manuscript was drafted from the local ICC chapter set in this folder, with the numbered references above taken from the chapter bibliographies extracted from those PDFs.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