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CLONE AI — COMPLETE PROJECT HANDOFF</w:t>
      </w:r>
    </w:p>
    <w:p>
      <w:pPr>
        <w:jc w:val="center"/>
      </w:pPr>
      <w:r>
        <w:br/>
        <w:t>Author: Antigravity</w:t>
        <w:br/>
        <w:t>Date: May 2026</w:t>
        <w:br/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Digital Clone AI is an advanced, multi-tenant RAG (Retrieval-Augmented Generation) chatbot system. It serves as a digital resurrection of historical or fictional personas—currently tuned specifically for Franz Kafka (Alucard). It leverages a 3-tier memory system, strict token budgeting, and few-shot prompt injection to enforce absolute persona fidelity.</w:t>
      </w:r>
    </w:p>
    <w:p>
      <w:pPr>
        <w:pStyle w:val="Heading1"/>
      </w:pPr>
      <w:r>
        <w:t>2. Phase Breakdown</w:t>
      </w:r>
    </w:p>
    <w:p>
      <w:r>
        <w:rPr>
          <w:b/>
        </w:rPr>
        <w:t>Phase 1: GSD (Get S**t Done) - Backend Foundation</w:t>
        <w:br/>
      </w:r>
      <w:r>
        <w:t>Built the core FastAPI backend, Supabase pgvector integration, Gemini embeddings, and OpenRouter/Groq LLM streaming. Implemented the base ingestion pipeline and standard API contracts.</w:t>
      </w:r>
    </w:p>
    <w:p>
      <w:r>
        <w:rPr>
          <w:b/>
        </w:rPr>
        <w:t>Phase 2 &amp; 3: Safety, Orchestration, and Calendar</w:t>
        <w:br/>
      </w:r>
      <w:r>
        <w:t>Added strict safety checks (Prompt Injection detection, Toxicity). Integrated Google Calendar sync capabilities and a robust orchestrator logic block to handle complex tool selections.</w:t>
      </w:r>
    </w:p>
    <w:p>
      <w:r>
        <w:rPr>
          <w:b/>
        </w:rPr>
        <w:t>Phase 4A-4C: Kafka Persona Tuning</w:t>
        <w:br/>
      </w:r>
      <w:r>
        <w:t>Fixed major chunking bugs that were truncating the text corpus. Reingested 4,489 chunks into Supabase. Rebuilt the prompt builder to strictly enforce a 3600 token budget. Injected 15 expert-curated few-shot conversation examples directly into the message roles to force Llama 3 to mimic Kafka’s brief, private, and melancholic letter-writing style.</w:t>
      </w:r>
    </w:p>
    <w:p>
      <w:r>
        <w:rPr>
          <w:b/>
        </w:rPr>
        <w:t>Phase 4D: UI/UX Overhaul</w:t>
        <w:br/>
      </w:r>
      <w:r>
        <w:t>Completely rewrote the Next.js frontend (ChatWindow.tsx, layout.tsx, MessageBubble.tsx) to match a v0.dev-inspired dark theme. Replaced default fonts with EB Garamond, added a pure black (#0a0a0a) background, and added auto-resizing shadcn text areas.</w:t>
      </w:r>
    </w:p>
    <w:p>
      <w:pPr>
        <w:pStyle w:val="Heading1"/>
      </w:pPr>
      <w:r>
        <w:t>3.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8B0000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color w:val="8B000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backend/app/main.py</w:t>
            </w:r>
          </w:p>
        </w:tc>
        <w:tc>
          <w:tcPr>
            <w:tcW w:type="dxa" w:w="4320"/>
          </w:tcPr>
          <w:p>
            <w:r>
              <w:t>FastAPI entry point, mounts routers and middleware.</w:t>
            </w:r>
          </w:p>
        </w:tc>
      </w:tr>
      <w:tr>
        <w:tc>
          <w:tcPr>
            <w:tcW w:type="dxa" w:w="4320"/>
          </w:tcPr>
          <w:p>
            <w:r>
              <w:t>backend/app/llm_client.py</w:t>
            </w:r>
          </w:p>
        </w:tc>
        <w:tc>
          <w:tcPr>
            <w:tcW w:type="dxa" w:w="4320"/>
          </w:tcPr>
          <w:p>
            <w:r>
              <w:t>Groq/OpenRouter streaming logic and few-shot injection.</w:t>
            </w:r>
          </w:p>
        </w:tc>
      </w:tr>
      <w:tr>
        <w:tc>
          <w:tcPr>
            <w:tcW w:type="dxa" w:w="4320"/>
          </w:tcPr>
          <w:p>
            <w:r>
              <w:t>backend/app/prompt_builder.py</w:t>
            </w:r>
          </w:p>
        </w:tc>
        <w:tc>
          <w:tcPr>
            <w:tcW w:type="dxa" w:w="4320"/>
          </w:tcPr>
          <w:p>
            <w:r>
              <w:t>Strict token budgeting and prompt assembly logic.</w:t>
            </w:r>
          </w:p>
        </w:tc>
      </w:tr>
      <w:tr>
        <w:tc>
          <w:tcPr>
            <w:tcW w:type="dxa" w:w="4320"/>
          </w:tcPr>
          <w:p>
            <w:r>
              <w:t>backend/app/vector_store.py</w:t>
            </w:r>
          </w:p>
        </w:tc>
        <w:tc>
          <w:tcPr>
            <w:tcW w:type="dxa" w:w="4320"/>
          </w:tcPr>
          <w:p>
            <w:r>
              <w:t>Supabase pgvector CRUD operations.</w:t>
            </w:r>
          </w:p>
        </w:tc>
      </w:tr>
      <w:tr>
        <w:tc>
          <w:tcPr>
            <w:tcW w:type="dxa" w:w="4320"/>
          </w:tcPr>
          <w:p>
            <w:r>
              <w:t>backend/app/ingest.py</w:t>
            </w:r>
          </w:p>
        </w:tc>
        <w:tc>
          <w:tcPr>
            <w:tcW w:type="dxa" w:w="4320"/>
          </w:tcPr>
          <w:p>
            <w:r>
              <w:t>Chunking and embedding pipeline using Gemini.</w:t>
            </w:r>
          </w:p>
        </w:tc>
      </w:tr>
      <w:tr>
        <w:tc>
          <w:tcPr>
            <w:tcW w:type="dxa" w:w="4320"/>
          </w:tcPr>
          <w:p>
            <w:r>
              <w:t>backend/clones/alucard/config.yaml</w:t>
            </w:r>
          </w:p>
        </w:tc>
        <w:tc>
          <w:tcPr>
            <w:tcW w:type="dxa" w:w="4320"/>
          </w:tcPr>
          <w:p>
            <w:r>
              <w:t>Version 3.0 persona definition and few-shot examples.</w:t>
            </w:r>
          </w:p>
        </w:tc>
      </w:tr>
      <w:tr>
        <w:tc>
          <w:tcPr>
            <w:tcW w:type="dxa" w:w="4320"/>
          </w:tcPr>
          <w:p>
            <w:r>
              <w:t>frontend/app/layout.tsx</w:t>
            </w:r>
          </w:p>
        </w:tc>
        <w:tc>
          <w:tcPr>
            <w:tcW w:type="dxa" w:w="4320"/>
          </w:tcPr>
          <w:p>
            <w:r>
              <w:t>Next.js Root layout, injects EB Garamond font.</w:t>
            </w:r>
          </w:p>
        </w:tc>
      </w:tr>
      <w:tr>
        <w:tc>
          <w:tcPr>
            <w:tcW w:type="dxa" w:w="4320"/>
          </w:tcPr>
          <w:p>
            <w:r>
              <w:t>frontend/app/page.tsx</w:t>
            </w:r>
          </w:p>
        </w:tc>
        <w:tc>
          <w:tcPr>
            <w:tcW w:type="dxa" w:w="4320"/>
          </w:tcPr>
          <w:p>
            <w:r>
              <w:t>Main entry point mounting the ChatWindow.</w:t>
            </w:r>
          </w:p>
        </w:tc>
      </w:tr>
      <w:tr>
        <w:tc>
          <w:tcPr>
            <w:tcW w:type="dxa" w:w="4320"/>
          </w:tcPr>
          <w:p>
            <w:r>
              <w:t>frontend/components/ChatWindow.tsx</w:t>
            </w:r>
          </w:p>
        </w:tc>
        <w:tc>
          <w:tcPr>
            <w:tcW w:type="dxa" w:w="4320"/>
          </w:tcPr>
          <w:p>
            <w:r>
              <w:t>Redesigned v0-style dark theme UI for interaction.</w:t>
            </w:r>
          </w:p>
        </w:tc>
      </w:tr>
      <w:tr>
        <w:tc>
          <w:tcPr>
            <w:tcW w:type="dxa" w:w="4320"/>
          </w:tcPr>
          <w:p>
            <w:r>
              <w:t>frontend/lib/api.ts</w:t>
            </w:r>
          </w:p>
        </w:tc>
        <w:tc>
          <w:tcPr>
            <w:tcW w:type="dxa" w:w="4320"/>
          </w:tcPr>
          <w:p>
            <w:r>
              <w:t>Frontend API wrapper to communicate with backend.</w:t>
            </w:r>
          </w:p>
        </w:tc>
      </w:tr>
    </w:tbl>
    <w:p>
      <w:pPr>
        <w:pStyle w:val="Heading1"/>
      </w:pPr>
      <w:r>
        <w:t>4. 3-Tier Memory System</w:t>
      </w:r>
    </w:p>
    <w:p>
      <w:r>
        <w:t>1. Core Identity (YAML Config): Static rules, system instructions, and few-shot examples defining the persona bounds.</w:t>
      </w:r>
    </w:p>
    <w:p>
      <w:r>
        <w:t>2. Episodic/Knowledge Memory (Supabase pgvector): The historical corpus. Messages are embedded by Gemini and semantic similarity retrieves the top 5 relevant chunks (Max 1200 tokens).</w:t>
      </w:r>
    </w:p>
    <w:p>
      <w:r>
        <w:t>3. Semantic/Short-term History (Session): The recent chat context window, truncated oldest-first when exceeding the 600-token budget.</w:t>
      </w:r>
    </w:p>
    <w:p>
      <w:pPr>
        <w:pStyle w:val="Heading1"/>
      </w:pPr>
      <w:r>
        <w:t>5. Token Budget Breakdown</w:t>
      </w:r>
    </w:p>
    <w:p>
      <w:r>
        <w:t>Total Absolute Limit: 3600 Tokens (cl100k_base encoding)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8B0000"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  <w:color w:val="8B0000"/>
              </w:rPr>
              <w:t>Budget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Knowledge (RAG)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Query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</w:tbl>
    <w:p>
      <w:pPr>
        <w:pStyle w:val="Heading1"/>
      </w:pPr>
      <w:r>
        <w:t>6. Kafka Corpus</w:t>
      </w:r>
    </w:p>
    <w:p>
      <w:r>
        <w:t>Total chunks ingested: 4,489</w:t>
      </w:r>
    </w:p>
    <w:p>
      <w:pPr>
        <w:pStyle w:val="ListBullet"/>
      </w:pPr>
      <w:r>
        <w:t>The_Metamorphosis.txt</w:t>
      </w:r>
    </w:p>
    <w:p>
      <w:pPr>
        <w:pStyle w:val="ListBullet"/>
      </w:pPr>
      <w:r>
        <w:t>The_trail.txt</w:t>
      </w:r>
    </w:p>
    <w:p>
      <w:pPr>
        <w:pStyle w:val="ListBullet"/>
      </w:pPr>
      <w:r>
        <w:t>Letter_to_my_father.txt</w:t>
      </w:r>
    </w:p>
    <w:p>
      <w:pPr>
        <w:pStyle w:val="ListBullet"/>
      </w:pPr>
      <w:r>
        <w:t>Daires_of_franz_kafka_1910-1913.txt</w:t>
      </w:r>
    </w:p>
    <w:p>
      <w:pPr>
        <w:pStyle w:val="ListBullet"/>
      </w:pPr>
      <w:r>
        <w:t>Franz_kafka_letter_to_felica.txt</w:t>
      </w:r>
    </w:p>
    <w:p>
      <w:pPr>
        <w:pStyle w:val="ListBullet"/>
      </w:pPr>
      <w:r>
        <w:t>complete_short_stories.txt</w:t>
      </w:r>
    </w:p>
    <w:p>
      <w:pPr>
        <w:pStyle w:val="ListBullet"/>
      </w:pPr>
      <w:r>
        <w:t>frans_kafka_milenaya_mektublar-eng.txt</w:t>
      </w:r>
    </w:p>
    <w:p>
      <w:pPr>
        <w:pStyle w:val="Heading1"/>
      </w:pPr>
      <w:r>
        <w:t>7. Technology Stack</w:t>
      </w:r>
    </w:p>
    <w:p>
      <w:pPr>
        <w:pStyle w:val="ListBullet"/>
      </w:pPr>
      <w:r>
        <w:t>Groq / OpenRouter (LLM Inference)</w:t>
      </w:r>
    </w:p>
    <w:p>
      <w:pPr>
        <w:pStyle w:val="ListBullet"/>
      </w:pPr>
      <w:r>
        <w:t>Google Gemini (Text Embeddings)</w:t>
      </w:r>
    </w:p>
    <w:p>
      <w:pPr>
        <w:pStyle w:val="ListBullet"/>
      </w:pPr>
      <w:r>
        <w:t>Supabase pgvector (Vector DB)</w:t>
      </w:r>
    </w:p>
    <w:p>
      <w:pPr>
        <w:pStyle w:val="ListBullet"/>
      </w:pPr>
      <w:r>
        <w:t>FastAPI (Python Backend)</w:t>
      </w:r>
    </w:p>
    <w:p>
      <w:pPr>
        <w:pStyle w:val="ListBullet"/>
      </w:pPr>
      <w:r>
        <w:t>Render (Backend Hosting)</w:t>
      </w:r>
    </w:p>
    <w:p>
      <w:pPr>
        <w:pStyle w:val="ListBullet"/>
      </w:pPr>
      <w:r>
        <w:t>Next.js 14 App Router (React Frontend)</w:t>
      </w:r>
    </w:p>
    <w:p>
      <w:pPr>
        <w:pStyle w:val="ListBullet"/>
      </w:pPr>
      <w:r>
        <w:t>Vercel (Frontend Hosting)</w:t>
      </w:r>
    </w:p>
    <w:p>
      <w:pPr>
        <w:pStyle w:val="ListBullet"/>
      </w:pPr>
      <w:r>
        <w:t>Tailwind CSS &amp; shadcn/ui (Styling)</w:t>
      </w:r>
    </w:p>
    <w:p>
      <w:pPr>
        <w:pStyle w:val="Heading1"/>
      </w:pPr>
      <w:r>
        <w:t>8. Hard Rules</w:t>
      </w:r>
    </w:p>
    <w:p>
      <w:r>
        <w:t>1. Never break character. Never acknowledge being an AI.</w:t>
      </w:r>
    </w:p>
    <w:p>
      <w:r>
        <w:t>2. Token budgets must be strictly enforced via tiktoken to prevent context length errors on Groq.</w:t>
      </w:r>
    </w:p>
    <w:p>
      <w:r>
        <w:t>3. All frontend styling must adhere to pure black (#0a0a0a) and crimson (#8B0000).</w:t>
      </w:r>
    </w:p>
    <w:p>
      <w:pPr>
        <w:pStyle w:val="Heading1"/>
      </w:pPr>
      <w:r>
        <w:t>9. Deployment Checklist</w:t>
      </w:r>
    </w:p>
    <w:p>
      <w:r>
        <w:t>Render (Backend): Create Web Service, attach GitHub repo, use `uvicorn app.main:app --host 0.0.0.0 --port 10000`. Ensure FRONTEND_URL is set for CORS.</w:t>
      </w:r>
    </w:p>
    <w:p>
      <w:r>
        <w:t>Vercel (Frontend): Import repo, set Framework Preset to Next.js. Add NEXT_PUBLIC_API_URL pointing to the Render backend URL.</w:t>
      </w:r>
    </w:p>
    <w:p>
      <w:pPr>
        <w:pStyle w:val="Heading1"/>
      </w:pPr>
      <w:r>
        <w:t>10. Known Issues &amp; Lessons Learned</w:t>
      </w:r>
    </w:p>
    <w:p>
      <w:r>
        <w:t>Gemini 429 Quota: The free tier is limited to 1,000 embedding requests per day. The massive 4,400+ chunk ingestion exhausted this, causing chat to temporarily fail until the daily reset.</w:t>
      </w:r>
    </w:p>
    <w:p>
      <w:r>
        <w:t>Tab Character Bug: The initial ingestion failed because raw tab characters in the Letters to Felice text file caused the chunker logic to halt and emit 0 bytes.</w:t>
      </w:r>
    </w:p>
    <w:p>
      <w:r>
        <w:t>CI Working-Directory: GitHub Actions pytest workflow originally failed because it was executing in the root folder rather than the `backend/`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B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B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