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3A0B" w:rsidRDefault="00F63A0B" w:rsidP="00F63A0B">
      <w:pPr>
        <w:pStyle w:val="Heading1"/>
        <w:jc w:val="center"/>
        <w:rPr>
          <w:b/>
          <w:bCs/>
          <w:color w:val="auto"/>
          <w:sz w:val="72"/>
          <w:szCs w:val="72"/>
        </w:rPr>
      </w:pPr>
      <w:r w:rsidRPr="00F63A0B">
        <w:rPr>
          <w:b/>
          <w:bCs/>
          <w:color w:val="auto"/>
          <w:sz w:val="72"/>
          <w:szCs w:val="72"/>
        </w:rPr>
        <w:t>Lab 1 – Requirements Table</w:t>
      </w:r>
    </w:p>
    <w:p w:rsidR="00F63A0B" w:rsidRPr="00F63A0B" w:rsidRDefault="00F63A0B" w:rsidP="00F63A0B">
      <w:pPr>
        <w:pStyle w:val="Heading1"/>
        <w:jc w:val="center"/>
        <w:rPr>
          <w:color w:val="auto"/>
          <w:sz w:val="36"/>
          <w:szCs w:val="36"/>
        </w:rPr>
      </w:pPr>
    </w:p>
    <w:p w:rsidR="00F63A0B" w:rsidRPr="00F63A0B" w:rsidRDefault="00F63A0B" w:rsidP="00F63A0B">
      <w:pPr>
        <w:spacing w:after="100"/>
        <w:jc w:val="center"/>
        <w:rPr>
          <w:sz w:val="28"/>
          <w:szCs w:val="28"/>
        </w:rPr>
      </w:pPr>
      <w:r w:rsidRPr="00F63A0B">
        <w:rPr>
          <w:i/>
          <w:iCs/>
          <w:sz w:val="28"/>
          <w:szCs w:val="28"/>
        </w:rPr>
        <w:t>Problem Statement #33: Micro-Lending &amp; Peer Credit Risk Assessor</w:t>
      </w:r>
    </w:p>
    <w:p w:rsidR="00F63A0B" w:rsidRDefault="00F63A0B" w:rsidP="00F63A0B">
      <w:pPr>
        <w:spacing w:after="200"/>
        <w:jc w:val="center"/>
        <w:rPr>
          <w:sz w:val="28"/>
          <w:szCs w:val="28"/>
          <w:u w:val="single"/>
        </w:rPr>
      </w:pPr>
      <w:r w:rsidRPr="00F63A0B">
        <w:rPr>
          <w:sz w:val="28"/>
          <w:szCs w:val="28"/>
          <w:u w:val="single"/>
        </w:rPr>
        <w:t>Stakeholders / Actors: Borrower, Peer Lender</w:t>
      </w:r>
    </w:p>
    <w:p w:rsidR="00F63A0B" w:rsidRDefault="00F63A0B" w:rsidP="00F63A0B">
      <w:pPr>
        <w:spacing w:after="200"/>
        <w:jc w:val="center"/>
        <w:rPr>
          <w:sz w:val="28"/>
          <w:szCs w:val="28"/>
          <w:u w:val="single"/>
        </w:rPr>
      </w:pPr>
    </w:p>
    <w:tbl>
      <w:tblPr>
        <w:tblStyle w:val="TableGrid"/>
        <w:tblW w:w="10188" w:type="dxa"/>
        <w:tblLayout w:type="fixed"/>
        <w:tblLook w:val="04A0" w:firstRow="1" w:lastRow="0" w:firstColumn="1" w:lastColumn="0" w:noHBand="0" w:noVBand="1"/>
      </w:tblPr>
      <w:tblGrid>
        <w:gridCol w:w="648"/>
        <w:gridCol w:w="990"/>
        <w:gridCol w:w="2610"/>
        <w:gridCol w:w="990"/>
        <w:gridCol w:w="3510"/>
        <w:gridCol w:w="1440"/>
      </w:tblGrid>
      <w:tr w:rsidR="00F63A0B" w:rsidRPr="00471A56" w:rsidTr="00471A56">
        <w:tc>
          <w:tcPr>
            <w:tcW w:w="648" w:type="dxa"/>
          </w:tcPr>
          <w:p w:rsidR="00F63A0B" w:rsidRPr="00471A56" w:rsidRDefault="00F63A0B" w:rsidP="00F63A0B">
            <w:pPr>
              <w:spacing w:after="200"/>
              <w:rPr>
                <w:b/>
                <w:sz w:val="16"/>
                <w:szCs w:val="16"/>
              </w:rPr>
            </w:pPr>
            <w:proofErr w:type="spellStart"/>
            <w:r w:rsidRPr="00471A56">
              <w:rPr>
                <w:b/>
                <w:sz w:val="16"/>
                <w:szCs w:val="16"/>
              </w:rPr>
              <w:t>Req</w:t>
            </w:r>
            <w:proofErr w:type="spellEnd"/>
            <w:r w:rsidRPr="00471A56">
              <w:rPr>
                <w:b/>
                <w:sz w:val="16"/>
                <w:szCs w:val="16"/>
              </w:rPr>
              <w:t xml:space="preserve"> ID</w:t>
            </w:r>
          </w:p>
        </w:tc>
        <w:tc>
          <w:tcPr>
            <w:tcW w:w="990" w:type="dxa"/>
          </w:tcPr>
          <w:p w:rsidR="00F63A0B" w:rsidRPr="00471A56" w:rsidRDefault="00F63A0B" w:rsidP="00F63A0B">
            <w:pPr>
              <w:spacing w:after="200"/>
              <w:rPr>
                <w:b/>
                <w:sz w:val="16"/>
                <w:szCs w:val="16"/>
              </w:rPr>
            </w:pPr>
            <w:r w:rsidRPr="00471A56">
              <w:rPr>
                <w:b/>
                <w:sz w:val="16"/>
                <w:szCs w:val="16"/>
              </w:rPr>
              <w:t>Type</w:t>
            </w:r>
          </w:p>
        </w:tc>
        <w:tc>
          <w:tcPr>
            <w:tcW w:w="2610" w:type="dxa"/>
          </w:tcPr>
          <w:p w:rsidR="00F63A0B" w:rsidRPr="00471A56" w:rsidRDefault="00F63A0B" w:rsidP="00F63A0B">
            <w:pPr>
              <w:spacing w:after="200"/>
              <w:rPr>
                <w:b/>
                <w:sz w:val="16"/>
                <w:szCs w:val="16"/>
              </w:rPr>
            </w:pPr>
            <w:r w:rsidRPr="00471A56">
              <w:rPr>
                <w:b/>
                <w:sz w:val="16"/>
                <w:szCs w:val="16"/>
              </w:rPr>
              <w:t>Description</w:t>
            </w:r>
          </w:p>
        </w:tc>
        <w:tc>
          <w:tcPr>
            <w:tcW w:w="990" w:type="dxa"/>
          </w:tcPr>
          <w:p w:rsidR="00F63A0B" w:rsidRPr="00471A56" w:rsidRDefault="00F63A0B" w:rsidP="00F63A0B">
            <w:pPr>
              <w:spacing w:after="200"/>
              <w:rPr>
                <w:b/>
                <w:sz w:val="16"/>
                <w:szCs w:val="16"/>
              </w:rPr>
            </w:pPr>
            <w:r w:rsidRPr="00471A56">
              <w:rPr>
                <w:b/>
                <w:sz w:val="16"/>
                <w:szCs w:val="16"/>
              </w:rPr>
              <w:t>Priority</w:t>
            </w:r>
          </w:p>
        </w:tc>
        <w:tc>
          <w:tcPr>
            <w:tcW w:w="3510" w:type="dxa"/>
          </w:tcPr>
          <w:p w:rsidR="00F63A0B" w:rsidRPr="00471A56" w:rsidRDefault="00F63A0B" w:rsidP="00F63A0B">
            <w:pPr>
              <w:spacing w:after="200"/>
              <w:rPr>
                <w:b/>
                <w:sz w:val="16"/>
                <w:szCs w:val="16"/>
              </w:rPr>
            </w:pPr>
            <w:r w:rsidRPr="00471A56">
              <w:rPr>
                <w:b/>
                <w:sz w:val="16"/>
                <w:szCs w:val="16"/>
              </w:rPr>
              <w:t>Acceptance Criteria</w:t>
            </w:r>
          </w:p>
        </w:tc>
        <w:tc>
          <w:tcPr>
            <w:tcW w:w="1440" w:type="dxa"/>
          </w:tcPr>
          <w:p w:rsidR="00F63A0B" w:rsidRPr="00471A56" w:rsidRDefault="00F63A0B" w:rsidP="00F63A0B">
            <w:pPr>
              <w:spacing w:after="200"/>
              <w:rPr>
                <w:b/>
                <w:sz w:val="16"/>
                <w:szCs w:val="16"/>
              </w:rPr>
            </w:pPr>
            <w:r w:rsidRPr="00471A56">
              <w:rPr>
                <w:b/>
                <w:sz w:val="16"/>
                <w:szCs w:val="16"/>
              </w:rPr>
              <w:t>Rationale</w:t>
            </w:r>
          </w:p>
        </w:tc>
      </w:tr>
      <w:tr w:rsidR="00471A56" w:rsidRPr="00471A56" w:rsidTr="00471A56">
        <w:tc>
          <w:tcPr>
            <w:tcW w:w="648" w:type="dxa"/>
          </w:tcPr>
          <w:p w:rsidR="00F63A0B" w:rsidRPr="00471A56" w:rsidRDefault="00F63A0B" w:rsidP="00F63A0B">
            <w:pPr>
              <w:spacing w:after="200"/>
              <w:rPr>
                <w:sz w:val="16"/>
                <w:szCs w:val="16"/>
                <w:u w:val="single"/>
              </w:rPr>
            </w:pPr>
            <w:r w:rsidRPr="00471A56">
              <w:rPr>
                <w:b/>
                <w:bCs/>
                <w:sz w:val="16"/>
                <w:szCs w:val="16"/>
              </w:rPr>
              <w:t>FR-001</w:t>
            </w:r>
          </w:p>
        </w:tc>
        <w:tc>
          <w:tcPr>
            <w:tcW w:w="990" w:type="dxa"/>
          </w:tcPr>
          <w:p w:rsidR="00F63A0B" w:rsidRPr="00471A56" w:rsidRDefault="00F63A0B" w:rsidP="00F63A0B">
            <w:pPr>
              <w:spacing w:after="200"/>
              <w:rPr>
                <w:sz w:val="16"/>
                <w:szCs w:val="16"/>
                <w:u w:val="single"/>
              </w:rPr>
            </w:pPr>
            <w:r w:rsidRPr="00471A56">
              <w:rPr>
                <w:sz w:val="16"/>
                <w:szCs w:val="16"/>
              </w:rPr>
              <w:t>Functional</w:t>
            </w:r>
          </w:p>
        </w:tc>
        <w:tc>
          <w:tcPr>
            <w:tcW w:w="2610" w:type="dxa"/>
          </w:tcPr>
          <w:p w:rsidR="00F63A0B" w:rsidRPr="00471A56" w:rsidRDefault="00471A56" w:rsidP="00F63A0B">
            <w:pPr>
              <w:spacing w:after="200"/>
              <w:rPr>
                <w:sz w:val="16"/>
                <w:szCs w:val="16"/>
                <w:u w:val="single"/>
              </w:rPr>
            </w:pPr>
            <w:r w:rsidRPr="00471A56">
              <w:rPr>
                <w:sz w:val="16"/>
                <w:szCs w:val="16"/>
              </w:rPr>
              <w:t>The system shall compute borrower credit risk ratings based on debt-to-income ratio, repayment history, and employment stability indicators.</w:t>
            </w:r>
          </w:p>
        </w:tc>
        <w:tc>
          <w:tcPr>
            <w:tcW w:w="990" w:type="dxa"/>
          </w:tcPr>
          <w:p w:rsidR="00F63A0B" w:rsidRPr="00471A56" w:rsidRDefault="00471A56" w:rsidP="00F63A0B">
            <w:pPr>
              <w:spacing w:after="200"/>
              <w:rPr>
                <w:sz w:val="16"/>
                <w:szCs w:val="16"/>
                <w:u w:val="single"/>
              </w:rPr>
            </w:pPr>
            <w:r w:rsidRPr="00471A56">
              <w:rPr>
                <w:sz w:val="16"/>
                <w:szCs w:val="16"/>
              </w:rPr>
              <w:t>High</w:t>
            </w:r>
          </w:p>
        </w:tc>
        <w:tc>
          <w:tcPr>
            <w:tcW w:w="3510" w:type="dxa"/>
          </w:tcPr>
          <w:p w:rsidR="00F63A0B" w:rsidRPr="00471A56" w:rsidRDefault="00471A56" w:rsidP="00F63A0B">
            <w:pPr>
              <w:spacing w:after="200"/>
              <w:rPr>
                <w:sz w:val="16"/>
                <w:szCs w:val="16"/>
                <w:u w:val="single"/>
              </w:rPr>
            </w:pPr>
            <w:r w:rsidRPr="00471A56">
              <w:rPr>
                <w:sz w:val="16"/>
                <w:szCs w:val="16"/>
              </w:rPr>
              <w:t>Pass: Risk tier (Low/Med/High) accurately assigned. Fail: Incomplete financial profile generates a credit approval.</w:t>
            </w:r>
          </w:p>
        </w:tc>
        <w:tc>
          <w:tcPr>
            <w:tcW w:w="1440" w:type="dxa"/>
          </w:tcPr>
          <w:p w:rsidR="00F63A0B" w:rsidRPr="00471A56" w:rsidRDefault="00471A56" w:rsidP="00F63A0B">
            <w:pPr>
              <w:spacing w:after="200"/>
              <w:rPr>
                <w:sz w:val="16"/>
                <w:szCs w:val="16"/>
                <w:u w:val="single"/>
              </w:rPr>
            </w:pPr>
            <w:r w:rsidRPr="00471A56">
              <w:rPr>
                <w:sz w:val="16"/>
                <w:szCs w:val="16"/>
              </w:rPr>
              <w:t>Given</w:t>
            </w:r>
          </w:p>
        </w:tc>
      </w:tr>
      <w:tr w:rsidR="00F63A0B" w:rsidRPr="00471A56" w:rsidTr="00471A56">
        <w:tc>
          <w:tcPr>
            <w:tcW w:w="648" w:type="dxa"/>
          </w:tcPr>
          <w:p w:rsidR="00F63A0B" w:rsidRPr="00471A56" w:rsidRDefault="00471A56" w:rsidP="00F63A0B">
            <w:pPr>
              <w:spacing w:after="200"/>
              <w:rPr>
                <w:sz w:val="16"/>
                <w:szCs w:val="16"/>
                <w:u w:val="single"/>
              </w:rPr>
            </w:pPr>
            <w:r w:rsidRPr="00471A56">
              <w:rPr>
                <w:b/>
                <w:bCs/>
                <w:sz w:val="16"/>
                <w:szCs w:val="16"/>
              </w:rPr>
              <w:t>FR-002</w:t>
            </w:r>
          </w:p>
        </w:tc>
        <w:tc>
          <w:tcPr>
            <w:tcW w:w="990" w:type="dxa"/>
          </w:tcPr>
          <w:p w:rsidR="00F63A0B" w:rsidRPr="00471A56" w:rsidRDefault="00471A56" w:rsidP="00F63A0B">
            <w:pPr>
              <w:spacing w:after="200"/>
              <w:rPr>
                <w:sz w:val="16"/>
                <w:szCs w:val="16"/>
                <w:u w:val="single"/>
              </w:rPr>
            </w:pPr>
            <w:r w:rsidRPr="00471A56">
              <w:rPr>
                <w:sz w:val="16"/>
                <w:szCs w:val="16"/>
              </w:rPr>
              <w:t>Functional</w:t>
            </w:r>
          </w:p>
        </w:tc>
        <w:tc>
          <w:tcPr>
            <w:tcW w:w="2610" w:type="dxa"/>
          </w:tcPr>
          <w:p w:rsidR="00F63A0B" w:rsidRPr="00471A56" w:rsidRDefault="00471A56" w:rsidP="00F63A0B">
            <w:pPr>
              <w:spacing w:after="200"/>
              <w:rPr>
                <w:sz w:val="16"/>
                <w:szCs w:val="16"/>
                <w:u w:val="single"/>
              </w:rPr>
            </w:pPr>
            <w:r w:rsidRPr="00471A56">
              <w:rPr>
                <w:sz w:val="16"/>
                <w:szCs w:val="16"/>
              </w:rPr>
              <w:t>The system shall allow a borrower to submit a loan request specifying amount, purpose, and repayment tenure.</w:t>
            </w:r>
          </w:p>
        </w:tc>
        <w:tc>
          <w:tcPr>
            <w:tcW w:w="990" w:type="dxa"/>
          </w:tcPr>
          <w:p w:rsidR="00F63A0B" w:rsidRPr="00471A56" w:rsidRDefault="00471A56" w:rsidP="00F63A0B">
            <w:pPr>
              <w:spacing w:after="200"/>
              <w:rPr>
                <w:sz w:val="16"/>
                <w:szCs w:val="16"/>
                <w:u w:val="single"/>
              </w:rPr>
            </w:pPr>
            <w:r w:rsidRPr="00471A56">
              <w:rPr>
                <w:sz w:val="16"/>
                <w:szCs w:val="16"/>
              </w:rPr>
              <w:t>High</w:t>
            </w:r>
          </w:p>
        </w:tc>
        <w:tc>
          <w:tcPr>
            <w:tcW w:w="3510" w:type="dxa"/>
          </w:tcPr>
          <w:p w:rsidR="00F63A0B" w:rsidRPr="00471A56" w:rsidRDefault="00471A56" w:rsidP="00F63A0B">
            <w:pPr>
              <w:spacing w:after="200"/>
              <w:rPr>
                <w:sz w:val="16"/>
                <w:szCs w:val="16"/>
                <w:u w:val="single"/>
              </w:rPr>
            </w:pPr>
            <w:r w:rsidRPr="00471A56">
              <w:rPr>
                <w:sz w:val="16"/>
                <w:szCs w:val="16"/>
              </w:rPr>
              <w:t>Pass: A submitted request is stored with status "Pending Risk Assessment" and triggers risk score computation. Fail: A request with a missing amount, purpose, or tenure is accepted.</w:t>
            </w:r>
          </w:p>
        </w:tc>
        <w:tc>
          <w:tcPr>
            <w:tcW w:w="1440" w:type="dxa"/>
          </w:tcPr>
          <w:p w:rsidR="00F63A0B" w:rsidRPr="00471A56" w:rsidRDefault="00471A56" w:rsidP="00F63A0B">
            <w:pPr>
              <w:spacing w:after="200"/>
              <w:rPr>
                <w:sz w:val="16"/>
                <w:szCs w:val="16"/>
                <w:u w:val="single"/>
              </w:rPr>
            </w:pPr>
            <w:r w:rsidRPr="00471A56">
              <w:rPr>
                <w:sz w:val="16"/>
                <w:szCs w:val="16"/>
              </w:rPr>
              <w:t>Captures the core input needed before any risk assessment or funding can occur.</w:t>
            </w:r>
          </w:p>
        </w:tc>
      </w:tr>
      <w:tr w:rsidR="00471A56" w:rsidRPr="00471A56" w:rsidTr="00471A56">
        <w:tc>
          <w:tcPr>
            <w:tcW w:w="648" w:type="dxa"/>
          </w:tcPr>
          <w:p w:rsidR="00F63A0B" w:rsidRPr="00471A56" w:rsidRDefault="00471A56" w:rsidP="00F63A0B">
            <w:pPr>
              <w:spacing w:after="200"/>
              <w:rPr>
                <w:sz w:val="16"/>
                <w:szCs w:val="16"/>
                <w:u w:val="single"/>
              </w:rPr>
            </w:pPr>
            <w:r w:rsidRPr="00471A56">
              <w:rPr>
                <w:b/>
                <w:bCs/>
                <w:sz w:val="16"/>
                <w:szCs w:val="16"/>
              </w:rPr>
              <w:t>FR-003</w:t>
            </w:r>
          </w:p>
        </w:tc>
        <w:tc>
          <w:tcPr>
            <w:tcW w:w="990" w:type="dxa"/>
          </w:tcPr>
          <w:p w:rsidR="00F63A0B" w:rsidRPr="00471A56" w:rsidRDefault="00471A56" w:rsidP="00F63A0B">
            <w:pPr>
              <w:spacing w:after="200"/>
              <w:rPr>
                <w:sz w:val="16"/>
                <w:szCs w:val="16"/>
                <w:u w:val="single"/>
              </w:rPr>
            </w:pPr>
            <w:r w:rsidRPr="00471A56">
              <w:rPr>
                <w:sz w:val="16"/>
                <w:szCs w:val="16"/>
              </w:rPr>
              <w:t>Functional</w:t>
            </w:r>
          </w:p>
        </w:tc>
        <w:tc>
          <w:tcPr>
            <w:tcW w:w="2610" w:type="dxa"/>
          </w:tcPr>
          <w:p w:rsidR="00F63A0B" w:rsidRPr="00471A56" w:rsidRDefault="00471A56" w:rsidP="00F63A0B">
            <w:pPr>
              <w:spacing w:after="200"/>
              <w:rPr>
                <w:sz w:val="16"/>
                <w:szCs w:val="16"/>
                <w:u w:val="single"/>
              </w:rPr>
            </w:pPr>
            <w:r w:rsidRPr="00471A56">
              <w:rPr>
                <w:sz w:val="16"/>
                <w:szCs w:val="16"/>
              </w:rPr>
              <w:t>The system shall allow a peer lender to browse and filter open loan requests by assigned risk tier, amount, and tenure.</w:t>
            </w:r>
          </w:p>
        </w:tc>
        <w:tc>
          <w:tcPr>
            <w:tcW w:w="990" w:type="dxa"/>
          </w:tcPr>
          <w:p w:rsidR="00F63A0B" w:rsidRPr="00471A56" w:rsidRDefault="00471A56" w:rsidP="00F63A0B">
            <w:pPr>
              <w:spacing w:after="200"/>
              <w:rPr>
                <w:sz w:val="16"/>
                <w:szCs w:val="16"/>
                <w:u w:val="single"/>
              </w:rPr>
            </w:pPr>
            <w:r w:rsidRPr="00471A56">
              <w:rPr>
                <w:sz w:val="16"/>
                <w:szCs w:val="16"/>
              </w:rPr>
              <w:t>Medium</w:t>
            </w:r>
          </w:p>
        </w:tc>
        <w:tc>
          <w:tcPr>
            <w:tcW w:w="3510" w:type="dxa"/>
          </w:tcPr>
          <w:p w:rsidR="00F63A0B" w:rsidRPr="00471A56" w:rsidRDefault="00471A56" w:rsidP="00F63A0B">
            <w:pPr>
              <w:spacing w:after="200"/>
              <w:rPr>
                <w:sz w:val="16"/>
                <w:szCs w:val="16"/>
                <w:u w:val="single"/>
              </w:rPr>
            </w:pPr>
            <w:r w:rsidRPr="00471A56">
              <w:rPr>
                <w:sz w:val="16"/>
                <w:szCs w:val="16"/>
              </w:rPr>
              <w:t>Pass: Filtering by a risk tier (e.g. "Low") returns only listings with that tier within 2 seconds. Fail: A filtered result includes a listing outside the selected tier.</w:t>
            </w:r>
          </w:p>
        </w:tc>
        <w:tc>
          <w:tcPr>
            <w:tcW w:w="1440" w:type="dxa"/>
          </w:tcPr>
          <w:p w:rsidR="00F63A0B" w:rsidRPr="00471A56" w:rsidRDefault="00471A56" w:rsidP="00F63A0B">
            <w:pPr>
              <w:spacing w:after="200"/>
              <w:rPr>
                <w:sz w:val="16"/>
                <w:szCs w:val="16"/>
                <w:u w:val="single"/>
              </w:rPr>
            </w:pPr>
            <w:proofErr w:type="spellStart"/>
            <w:r w:rsidRPr="00471A56">
              <w:rPr>
                <w:sz w:val="16"/>
                <w:szCs w:val="16"/>
              </w:rPr>
              <w:t>Lets</w:t>
            </w:r>
            <w:proofErr w:type="spellEnd"/>
            <w:r w:rsidRPr="00471A56">
              <w:rPr>
                <w:sz w:val="16"/>
                <w:szCs w:val="16"/>
              </w:rPr>
              <w:t xml:space="preserve"> lenders make informed, risk-aware funding decisions.</w:t>
            </w:r>
          </w:p>
        </w:tc>
      </w:tr>
      <w:tr w:rsidR="00F63A0B" w:rsidRPr="00471A56" w:rsidTr="00471A56">
        <w:tc>
          <w:tcPr>
            <w:tcW w:w="648" w:type="dxa"/>
          </w:tcPr>
          <w:p w:rsidR="00F63A0B" w:rsidRPr="00471A56" w:rsidRDefault="00471A56" w:rsidP="00F63A0B">
            <w:pPr>
              <w:spacing w:after="200"/>
              <w:rPr>
                <w:sz w:val="16"/>
                <w:szCs w:val="16"/>
                <w:u w:val="single"/>
              </w:rPr>
            </w:pPr>
            <w:r w:rsidRPr="00471A56">
              <w:rPr>
                <w:b/>
                <w:bCs/>
                <w:sz w:val="16"/>
                <w:szCs w:val="16"/>
              </w:rPr>
              <w:t>FR-004</w:t>
            </w:r>
          </w:p>
        </w:tc>
        <w:tc>
          <w:tcPr>
            <w:tcW w:w="990" w:type="dxa"/>
          </w:tcPr>
          <w:p w:rsidR="00F63A0B" w:rsidRPr="00471A56" w:rsidRDefault="00471A56" w:rsidP="00F63A0B">
            <w:pPr>
              <w:spacing w:after="200"/>
              <w:rPr>
                <w:sz w:val="16"/>
                <w:szCs w:val="16"/>
                <w:u w:val="single"/>
              </w:rPr>
            </w:pPr>
            <w:r w:rsidRPr="00471A56">
              <w:rPr>
                <w:sz w:val="16"/>
                <w:szCs w:val="16"/>
              </w:rPr>
              <w:t>Functional</w:t>
            </w:r>
          </w:p>
        </w:tc>
        <w:tc>
          <w:tcPr>
            <w:tcW w:w="2610" w:type="dxa"/>
          </w:tcPr>
          <w:p w:rsidR="00F63A0B" w:rsidRPr="00471A56" w:rsidRDefault="00471A56" w:rsidP="00F63A0B">
            <w:pPr>
              <w:spacing w:after="200"/>
              <w:rPr>
                <w:sz w:val="16"/>
                <w:szCs w:val="16"/>
                <w:u w:val="single"/>
              </w:rPr>
            </w:pPr>
            <w:r w:rsidRPr="00471A56">
              <w:rPr>
                <w:sz w:val="16"/>
                <w:szCs w:val="16"/>
              </w:rPr>
              <w:t xml:space="preserve">Upon a loan being fully funded, the system shall generate a structured repayment schedule showing EMI amount, due dates, and outstanding principal for each </w:t>
            </w:r>
            <w:proofErr w:type="spellStart"/>
            <w:r w:rsidRPr="00471A56">
              <w:rPr>
                <w:sz w:val="16"/>
                <w:szCs w:val="16"/>
              </w:rPr>
              <w:t>instalment</w:t>
            </w:r>
            <w:proofErr w:type="spellEnd"/>
          </w:p>
        </w:tc>
        <w:tc>
          <w:tcPr>
            <w:tcW w:w="990" w:type="dxa"/>
          </w:tcPr>
          <w:p w:rsidR="00F63A0B" w:rsidRPr="00471A56" w:rsidRDefault="00471A56" w:rsidP="00F63A0B">
            <w:pPr>
              <w:spacing w:after="200"/>
              <w:rPr>
                <w:sz w:val="16"/>
                <w:szCs w:val="16"/>
                <w:u w:val="single"/>
              </w:rPr>
            </w:pPr>
            <w:r w:rsidRPr="00471A56">
              <w:rPr>
                <w:sz w:val="16"/>
                <w:szCs w:val="16"/>
              </w:rPr>
              <w:t>High</w:t>
            </w:r>
          </w:p>
        </w:tc>
        <w:tc>
          <w:tcPr>
            <w:tcW w:w="3510" w:type="dxa"/>
          </w:tcPr>
          <w:p w:rsidR="00F63A0B" w:rsidRPr="00471A56" w:rsidRDefault="00471A56" w:rsidP="00F63A0B">
            <w:pPr>
              <w:spacing w:after="200"/>
              <w:rPr>
                <w:sz w:val="16"/>
                <w:szCs w:val="16"/>
                <w:u w:val="single"/>
              </w:rPr>
            </w:pPr>
            <w:r w:rsidRPr="00471A56">
              <w:rPr>
                <w:sz w:val="16"/>
                <w:szCs w:val="16"/>
              </w:rPr>
              <w:t xml:space="preserve">Pass: The generated schedule's </w:t>
            </w:r>
            <w:proofErr w:type="spellStart"/>
            <w:r w:rsidRPr="00471A56">
              <w:rPr>
                <w:sz w:val="16"/>
                <w:szCs w:val="16"/>
              </w:rPr>
              <w:t>instalments</w:t>
            </w:r>
            <w:proofErr w:type="spellEnd"/>
            <w:r w:rsidRPr="00471A56">
              <w:rPr>
                <w:sz w:val="16"/>
                <w:szCs w:val="16"/>
              </w:rPr>
              <w:t xml:space="preserve"> sum to principal plus interest and each due date is exactly one period after the previous one. Fail: The schedule is generated with a missing </w:t>
            </w:r>
            <w:proofErr w:type="spellStart"/>
            <w:r w:rsidRPr="00471A56">
              <w:rPr>
                <w:sz w:val="16"/>
                <w:szCs w:val="16"/>
              </w:rPr>
              <w:t>instalment</w:t>
            </w:r>
            <w:proofErr w:type="spellEnd"/>
            <w:r w:rsidRPr="00471A56">
              <w:rPr>
                <w:sz w:val="16"/>
                <w:szCs w:val="16"/>
              </w:rPr>
              <w:t xml:space="preserve"> or an incorrect EMI total.</w:t>
            </w:r>
          </w:p>
        </w:tc>
        <w:tc>
          <w:tcPr>
            <w:tcW w:w="1440" w:type="dxa"/>
          </w:tcPr>
          <w:p w:rsidR="00F63A0B" w:rsidRPr="00471A56" w:rsidRDefault="00471A56" w:rsidP="00F63A0B">
            <w:pPr>
              <w:spacing w:after="200"/>
              <w:rPr>
                <w:sz w:val="16"/>
                <w:szCs w:val="16"/>
                <w:u w:val="single"/>
              </w:rPr>
            </w:pPr>
            <w:r w:rsidRPr="00471A56">
              <w:rPr>
                <w:sz w:val="16"/>
                <w:szCs w:val="16"/>
              </w:rPr>
              <w:t>Gives both parties a clear, verifiable repayment plan and is the basis for default monitoring.</w:t>
            </w:r>
          </w:p>
        </w:tc>
      </w:tr>
      <w:tr w:rsidR="00471A56" w:rsidRPr="00471A56" w:rsidTr="00471A56">
        <w:tc>
          <w:tcPr>
            <w:tcW w:w="648" w:type="dxa"/>
          </w:tcPr>
          <w:p w:rsidR="00F63A0B" w:rsidRPr="00471A56" w:rsidRDefault="00471A56" w:rsidP="00F63A0B">
            <w:pPr>
              <w:spacing w:after="200"/>
              <w:rPr>
                <w:sz w:val="16"/>
                <w:szCs w:val="16"/>
                <w:u w:val="single"/>
              </w:rPr>
            </w:pPr>
            <w:r w:rsidRPr="00471A56">
              <w:rPr>
                <w:b/>
                <w:bCs/>
                <w:sz w:val="16"/>
                <w:szCs w:val="16"/>
              </w:rPr>
              <w:t>FR-005</w:t>
            </w:r>
          </w:p>
        </w:tc>
        <w:tc>
          <w:tcPr>
            <w:tcW w:w="990" w:type="dxa"/>
          </w:tcPr>
          <w:p w:rsidR="00F63A0B" w:rsidRPr="00471A56" w:rsidRDefault="00471A56" w:rsidP="00F63A0B">
            <w:pPr>
              <w:spacing w:after="200"/>
              <w:rPr>
                <w:sz w:val="16"/>
                <w:szCs w:val="16"/>
                <w:u w:val="single"/>
              </w:rPr>
            </w:pPr>
            <w:r w:rsidRPr="00471A56">
              <w:rPr>
                <w:sz w:val="16"/>
                <w:szCs w:val="16"/>
              </w:rPr>
              <w:t>Functional</w:t>
            </w:r>
          </w:p>
        </w:tc>
        <w:tc>
          <w:tcPr>
            <w:tcW w:w="2610" w:type="dxa"/>
          </w:tcPr>
          <w:p w:rsidR="00F63A0B" w:rsidRPr="00471A56" w:rsidRDefault="00471A56" w:rsidP="00471A56">
            <w:pPr>
              <w:spacing w:after="200"/>
              <w:rPr>
                <w:sz w:val="16"/>
                <w:szCs w:val="16"/>
                <w:u w:val="single"/>
              </w:rPr>
            </w:pPr>
            <w:r w:rsidRPr="00471A56">
              <w:rPr>
                <w:sz w:val="16"/>
                <w:szCs w:val="16"/>
              </w:rPr>
              <w:t>The system shall automatically trigger a default warning notification to the peer lender and borrower when a scheduled EMI is not paid within 3 days of its due date.</w:t>
            </w:r>
          </w:p>
        </w:tc>
        <w:tc>
          <w:tcPr>
            <w:tcW w:w="990" w:type="dxa"/>
          </w:tcPr>
          <w:p w:rsidR="00F63A0B" w:rsidRPr="00471A56" w:rsidRDefault="00471A56" w:rsidP="00F63A0B">
            <w:pPr>
              <w:spacing w:after="200"/>
              <w:rPr>
                <w:sz w:val="16"/>
                <w:szCs w:val="16"/>
                <w:u w:val="single"/>
              </w:rPr>
            </w:pPr>
            <w:r w:rsidRPr="00471A56">
              <w:rPr>
                <w:sz w:val="16"/>
                <w:szCs w:val="16"/>
              </w:rPr>
              <w:t>High</w:t>
            </w:r>
          </w:p>
        </w:tc>
        <w:tc>
          <w:tcPr>
            <w:tcW w:w="3510" w:type="dxa"/>
          </w:tcPr>
          <w:p w:rsidR="00F63A0B" w:rsidRPr="00471A56" w:rsidRDefault="00471A56" w:rsidP="00F63A0B">
            <w:pPr>
              <w:spacing w:after="200"/>
              <w:rPr>
                <w:sz w:val="16"/>
                <w:szCs w:val="16"/>
                <w:u w:val="single"/>
              </w:rPr>
            </w:pPr>
            <w:r w:rsidRPr="00471A56">
              <w:rPr>
                <w:sz w:val="16"/>
                <w:szCs w:val="16"/>
              </w:rPr>
              <w:t>Pass: A notification is logged and sent within 1 hour of the 3-day grace period elapsing for an unpaid EMI. Fail: An overdue EMI passes 3 days without a warning being triggered.</w:t>
            </w:r>
          </w:p>
        </w:tc>
        <w:tc>
          <w:tcPr>
            <w:tcW w:w="1440" w:type="dxa"/>
          </w:tcPr>
          <w:p w:rsidR="00F63A0B" w:rsidRPr="00471A56" w:rsidRDefault="00471A56" w:rsidP="00F63A0B">
            <w:pPr>
              <w:spacing w:after="200"/>
              <w:rPr>
                <w:sz w:val="16"/>
                <w:szCs w:val="16"/>
                <w:u w:val="single"/>
              </w:rPr>
            </w:pPr>
            <w:r w:rsidRPr="00471A56">
              <w:rPr>
                <w:sz w:val="16"/>
                <w:szCs w:val="16"/>
              </w:rPr>
              <w:t>Enables early risk mitigation and protects lender capital in a peer-to-peer model with no institutional backstop.</w:t>
            </w:r>
          </w:p>
        </w:tc>
      </w:tr>
      <w:tr w:rsidR="00F63A0B" w:rsidRPr="00471A56" w:rsidTr="00471A56">
        <w:tc>
          <w:tcPr>
            <w:tcW w:w="648" w:type="dxa"/>
          </w:tcPr>
          <w:p w:rsidR="00F63A0B" w:rsidRPr="00471A56" w:rsidRDefault="00471A56" w:rsidP="00F63A0B">
            <w:pPr>
              <w:spacing w:after="200"/>
              <w:rPr>
                <w:sz w:val="16"/>
                <w:szCs w:val="16"/>
                <w:u w:val="single"/>
              </w:rPr>
            </w:pPr>
            <w:r w:rsidRPr="00471A56">
              <w:rPr>
                <w:b/>
                <w:bCs/>
                <w:sz w:val="16"/>
                <w:szCs w:val="16"/>
              </w:rPr>
              <w:t>N</w:t>
            </w:r>
            <w:r w:rsidRPr="00471A56">
              <w:rPr>
                <w:b/>
                <w:bCs/>
                <w:sz w:val="16"/>
                <w:szCs w:val="16"/>
              </w:rPr>
              <w:t>FR-001</w:t>
            </w:r>
          </w:p>
        </w:tc>
        <w:tc>
          <w:tcPr>
            <w:tcW w:w="990" w:type="dxa"/>
          </w:tcPr>
          <w:p w:rsidR="00F63A0B" w:rsidRPr="00471A56" w:rsidRDefault="00471A56" w:rsidP="00F63A0B">
            <w:pPr>
              <w:spacing w:after="200"/>
              <w:rPr>
                <w:sz w:val="16"/>
                <w:szCs w:val="16"/>
                <w:u w:val="single"/>
              </w:rPr>
            </w:pPr>
            <w:r w:rsidRPr="00471A56">
              <w:rPr>
                <w:sz w:val="16"/>
                <w:szCs w:val="16"/>
              </w:rPr>
              <w:t>Non -</w:t>
            </w:r>
            <w:r w:rsidRPr="00471A56">
              <w:rPr>
                <w:sz w:val="16"/>
                <w:szCs w:val="16"/>
              </w:rPr>
              <w:t>Functional</w:t>
            </w:r>
          </w:p>
        </w:tc>
        <w:tc>
          <w:tcPr>
            <w:tcW w:w="2610" w:type="dxa"/>
          </w:tcPr>
          <w:p w:rsidR="00F63A0B" w:rsidRPr="00471A56" w:rsidRDefault="00471A56" w:rsidP="00F63A0B">
            <w:pPr>
              <w:spacing w:after="200"/>
              <w:rPr>
                <w:sz w:val="16"/>
                <w:szCs w:val="16"/>
                <w:u w:val="single"/>
              </w:rPr>
            </w:pPr>
            <w:r w:rsidRPr="00471A56">
              <w:rPr>
                <w:sz w:val="16"/>
                <w:szCs w:val="16"/>
              </w:rPr>
              <w:t>Loan repayment transactions and EMI distribution must execute inside database ACID transactions to prevent double-spending.</w:t>
            </w:r>
          </w:p>
        </w:tc>
        <w:tc>
          <w:tcPr>
            <w:tcW w:w="990" w:type="dxa"/>
          </w:tcPr>
          <w:p w:rsidR="00F63A0B" w:rsidRPr="00471A56" w:rsidRDefault="00471A56" w:rsidP="00F63A0B">
            <w:pPr>
              <w:spacing w:after="200"/>
              <w:rPr>
                <w:sz w:val="16"/>
                <w:szCs w:val="16"/>
                <w:u w:val="single"/>
              </w:rPr>
            </w:pPr>
            <w:r w:rsidRPr="00471A56">
              <w:rPr>
                <w:sz w:val="16"/>
                <w:szCs w:val="16"/>
              </w:rPr>
              <w:t>High</w:t>
            </w:r>
          </w:p>
        </w:tc>
        <w:tc>
          <w:tcPr>
            <w:tcW w:w="3510" w:type="dxa"/>
          </w:tcPr>
          <w:p w:rsidR="00F63A0B" w:rsidRPr="00471A56" w:rsidRDefault="00471A56" w:rsidP="00F63A0B">
            <w:pPr>
              <w:spacing w:after="200"/>
              <w:rPr>
                <w:sz w:val="16"/>
                <w:szCs w:val="16"/>
                <w:u w:val="single"/>
              </w:rPr>
            </w:pPr>
            <w:r w:rsidRPr="00471A56">
              <w:rPr>
                <w:sz w:val="16"/>
                <w:szCs w:val="16"/>
              </w:rPr>
              <w:t>Pass: Benchmarking tests confirm target latency and security standards under simulated peak load</w:t>
            </w:r>
          </w:p>
        </w:tc>
        <w:tc>
          <w:tcPr>
            <w:tcW w:w="1440" w:type="dxa"/>
          </w:tcPr>
          <w:p w:rsidR="00F63A0B" w:rsidRPr="00471A56" w:rsidRDefault="00471A56" w:rsidP="00F63A0B">
            <w:pPr>
              <w:spacing w:after="200"/>
              <w:rPr>
                <w:sz w:val="16"/>
                <w:szCs w:val="16"/>
                <w:u w:val="single"/>
              </w:rPr>
            </w:pPr>
            <w:r w:rsidRPr="00471A56">
              <w:rPr>
                <w:sz w:val="16"/>
                <w:szCs w:val="16"/>
              </w:rPr>
              <w:t>Given</w:t>
            </w:r>
          </w:p>
        </w:tc>
      </w:tr>
      <w:tr w:rsidR="00471A56" w:rsidRPr="00471A56" w:rsidTr="00471A56">
        <w:tc>
          <w:tcPr>
            <w:tcW w:w="648" w:type="dxa"/>
          </w:tcPr>
          <w:p w:rsidR="00F63A0B" w:rsidRPr="00471A56" w:rsidRDefault="00471A56" w:rsidP="00F63A0B">
            <w:pPr>
              <w:spacing w:after="200"/>
              <w:rPr>
                <w:sz w:val="16"/>
                <w:szCs w:val="16"/>
                <w:u w:val="single"/>
              </w:rPr>
            </w:pPr>
            <w:r w:rsidRPr="00471A56">
              <w:rPr>
                <w:b/>
                <w:bCs/>
                <w:sz w:val="16"/>
                <w:szCs w:val="16"/>
              </w:rPr>
              <w:t>NFR-002</w:t>
            </w:r>
          </w:p>
        </w:tc>
        <w:tc>
          <w:tcPr>
            <w:tcW w:w="990" w:type="dxa"/>
          </w:tcPr>
          <w:p w:rsidR="00F63A0B" w:rsidRPr="00471A56" w:rsidRDefault="00471A56" w:rsidP="00F63A0B">
            <w:pPr>
              <w:spacing w:after="200"/>
              <w:rPr>
                <w:sz w:val="16"/>
                <w:szCs w:val="16"/>
                <w:u w:val="single"/>
              </w:rPr>
            </w:pPr>
            <w:r w:rsidRPr="00471A56">
              <w:rPr>
                <w:sz w:val="16"/>
                <w:szCs w:val="16"/>
              </w:rPr>
              <w:t xml:space="preserve">Non - </w:t>
            </w:r>
            <w:r w:rsidRPr="00471A56">
              <w:rPr>
                <w:sz w:val="16"/>
                <w:szCs w:val="16"/>
              </w:rPr>
              <w:t>Functional</w:t>
            </w:r>
          </w:p>
        </w:tc>
        <w:tc>
          <w:tcPr>
            <w:tcW w:w="2610" w:type="dxa"/>
          </w:tcPr>
          <w:p w:rsidR="00F63A0B" w:rsidRPr="00471A56" w:rsidRDefault="00471A56" w:rsidP="00F63A0B">
            <w:pPr>
              <w:spacing w:after="200"/>
              <w:rPr>
                <w:sz w:val="16"/>
                <w:szCs w:val="16"/>
                <w:u w:val="single"/>
              </w:rPr>
            </w:pPr>
            <w:r w:rsidRPr="00471A56">
              <w:rPr>
                <w:sz w:val="16"/>
                <w:szCs w:val="16"/>
              </w:rPr>
              <w:t>The system shall encrypt all borrower financial and personal data (income, bank details, credit risk score) at rest using AES-256 and in transit using TLS 1.2 or higher.</w:t>
            </w:r>
          </w:p>
        </w:tc>
        <w:tc>
          <w:tcPr>
            <w:tcW w:w="990" w:type="dxa"/>
          </w:tcPr>
          <w:p w:rsidR="00F63A0B" w:rsidRPr="00471A56" w:rsidRDefault="00471A56" w:rsidP="00F63A0B">
            <w:pPr>
              <w:spacing w:after="200"/>
              <w:rPr>
                <w:sz w:val="16"/>
                <w:szCs w:val="16"/>
                <w:u w:val="single"/>
              </w:rPr>
            </w:pPr>
            <w:r w:rsidRPr="00471A56">
              <w:rPr>
                <w:sz w:val="16"/>
                <w:szCs w:val="16"/>
              </w:rPr>
              <w:t>High</w:t>
            </w:r>
          </w:p>
        </w:tc>
        <w:tc>
          <w:tcPr>
            <w:tcW w:w="3510" w:type="dxa"/>
          </w:tcPr>
          <w:p w:rsidR="00F63A0B" w:rsidRPr="00471A56" w:rsidRDefault="00471A56" w:rsidP="00F63A0B">
            <w:pPr>
              <w:spacing w:after="200"/>
              <w:rPr>
                <w:sz w:val="16"/>
                <w:szCs w:val="16"/>
                <w:u w:val="single"/>
              </w:rPr>
            </w:pPr>
            <w:r w:rsidRPr="00471A56">
              <w:rPr>
                <w:sz w:val="16"/>
                <w:szCs w:val="16"/>
              </w:rPr>
              <w:t>Pass: A security scan confirms all stored PII fields are encrypted at rest and all API traffic is served exclusively over TLS 1.2+. Fail: Any financial or personal field is found stored or transmitted in plaintext.</w:t>
            </w:r>
          </w:p>
        </w:tc>
        <w:tc>
          <w:tcPr>
            <w:tcW w:w="1440" w:type="dxa"/>
          </w:tcPr>
          <w:p w:rsidR="00F63A0B" w:rsidRPr="00471A56" w:rsidRDefault="00471A56" w:rsidP="00F63A0B">
            <w:pPr>
              <w:spacing w:after="200"/>
              <w:rPr>
                <w:sz w:val="16"/>
                <w:szCs w:val="16"/>
                <w:u w:val="single"/>
              </w:rPr>
            </w:pPr>
            <w:r w:rsidRPr="00471A56">
              <w:rPr>
                <w:sz w:val="16"/>
                <w:szCs w:val="16"/>
              </w:rPr>
              <w:t>Protects sensitive financial data and borrower privacy, and supports regulatory compliance for a lending platform.</w:t>
            </w:r>
          </w:p>
        </w:tc>
      </w:tr>
    </w:tbl>
    <w:p w:rsidR="00F63A0B" w:rsidRPr="00471A56" w:rsidRDefault="00F63A0B" w:rsidP="00F63A0B">
      <w:pPr>
        <w:spacing w:after="200"/>
        <w:rPr>
          <w:sz w:val="16"/>
          <w:szCs w:val="16"/>
          <w:u w:val="single"/>
        </w:rPr>
      </w:pPr>
    </w:p>
    <w:p w:rsidR="00942588" w:rsidRPr="00471A56" w:rsidRDefault="00942588">
      <w:pPr>
        <w:rPr>
          <w:sz w:val="16"/>
          <w:szCs w:val="16"/>
        </w:rPr>
      </w:pPr>
      <w:bookmarkStart w:id="0" w:name="_GoBack"/>
      <w:bookmarkEnd w:id="0"/>
    </w:p>
    <w:sectPr w:rsidR="00942588" w:rsidRPr="00471A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3A0B"/>
    <w:rsid w:val="00471A56"/>
    <w:rsid w:val="00942588"/>
    <w:rsid w:val="00D42DA6"/>
    <w:rsid w:val="00F63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A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link w:val="Heading1Char"/>
    <w:qFormat/>
    <w:rsid w:val="00F63A0B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63A0B"/>
    <w:rPr>
      <w:rFonts w:ascii="Times New Roman" w:eastAsia="Times New Roman" w:hAnsi="Times New Roman" w:cs="Times New Roman"/>
      <w:color w:val="2E74B5"/>
      <w:sz w:val="32"/>
      <w:szCs w:val="32"/>
    </w:rPr>
  </w:style>
  <w:style w:type="table" w:styleId="TableGrid">
    <w:name w:val="Table Grid"/>
    <w:basedOn w:val="TableNormal"/>
    <w:uiPriority w:val="59"/>
    <w:rsid w:val="00F63A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5">
    <w:name w:val="Light Shading Accent 5"/>
    <w:basedOn w:val="TableNormal"/>
    <w:uiPriority w:val="60"/>
    <w:rsid w:val="00471A5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MediumShading1-Accent1">
    <w:name w:val="Medium Shading 1 Accent 1"/>
    <w:basedOn w:val="TableNormal"/>
    <w:uiPriority w:val="63"/>
    <w:rsid w:val="00471A5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A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link w:val="Heading1Char"/>
    <w:qFormat/>
    <w:rsid w:val="00F63A0B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63A0B"/>
    <w:rPr>
      <w:rFonts w:ascii="Times New Roman" w:eastAsia="Times New Roman" w:hAnsi="Times New Roman" w:cs="Times New Roman"/>
      <w:color w:val="2E74B5"/>
      <w:sz w:val="32"/>
      <w:szCs w:val="32"/>
    </w:rPr>
  </w:style>
  <w:style w:type="table" w:styleId="TableGrid">
    <w:name w:val="Table Grid"/>
    <w:basedOn w:val="TableNormal"/>
    <w:uiPriority w:val="59"/>
    <w:rsid w:val="00F63A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5">
    <w:name w:val="Light Shading Accent 5"/>
    <w:basedOn w:val="TableNormal"/>
    <w:uiPriority w:val="60"/>
    <w:rsid w:val="00471A5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MediumShading1-Accent1">
    <w:name w:val="Medium Shading 1 Accent 1"/>
    <w:basedOn w:val="TableNormal"/>
    <w:uiPriority w:val="63"/>
    <w:rsid w:val="00471A5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10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2026-08-25T09:39:00Z</dcterms:created>
  <dcterms:modified xsi:type="dcterms:W3CDTF">2026-08-25T12:43:00Z</dcterms:modified>
</cp:coreProperties>
</file>