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A5CD3" w14:textId="77777777" w:rsidR="007A2BCE" w:rsidRDefault="007A2BCE" w:rsidP="007F2CAE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F486446" w14:textId="27862F1E" w:rsidR="005C7784" w:rsidRPr="00B5203C" w:rsidRDefault="003E76F3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Mustafa Abdullayev</w:t>
      </w:r>
    </w:p>
    <w:p w14:paraId="52035CFC" w14:textId="56EF929F" w:rsidR="003E76F3" w:rsidRPr="00B5203C" w:rsidRDefault="007A2BCE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USA Cars Assignment</w:t>
      </w:r>
    </w:p>
    <w:p w14:paraId="57D08D70" w14:textId="3598F330" w:rsidR="003E76F3" w:rsidRPr="00B5203C" w:rsidRDefault="003E76F3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AY6010 – Probability Theory and Introductory Statistics</w:t>
      </w:r>
    </w:p>
    <w:p w14:paraId="47B63D12" w14:textId="25B41D9D" w:rsidR="003E76F3" w:rsidRPr="00B5203C" w:rsidRDefault="00A0000F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Term:</w:t>
      </w:r>
      <w:r w:rsidR="003E76F3" w:rsidRPr="00B5203C">
        <w:rPr>
          <w:rFonts w:ascii="Times New Roman" w:hAnsi="Times New Roman" w:cs="Times New Roman"/>
          <w:sz w:val="36"/>
          <w:szCs w:val="36"/>
        </w:rPr>
        <w:t xml:space="preserve"> Fall 2019</w:t>
      </w:r>
    </w:p>
    <w:p w14:paraId="4F9CF86B" w14:textId="2204E35F" w:rsidR="003E76F3" w:rsidRPr="00B5203C" w:rsidRDefault="00A0000F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Instructor:</w:t>
      </w:r>
      <w:r w:rsidR="003E76F3" w:rsidRPr="00B5203C">
        <w:rPr>
          <w:rFonts w:ascii="Times New Roman" w:hAnsi="Times New Roman" w:cs="Times New Roman"/>
          <w:sz w:val="36"/>
          <w:szCs w:val="36"/>
        </w:rPr>
        <w:t xml:space="preserve"> Tom </w:t>
      </w:r>
      <w:proofErr w:type="spellStart"/>
      <w:r w:rsidR="003E76F3" w:rsidRPr="00B5203C">
        <w:rPr>
          <w:rFonts w:ascii="Times New Roman" w:hAnsi="Times New Roman" w:cs="Times New Roman"/>
          <w:sz w:val="36"/>
          <w:szCs w:val="36"/>
        </w:rPr>
        <w:t>Breur</w:t>
      </w:r>
      <w:proofErr w:type="spellEnd"/>
    </w:p>
    <w:p w14:paraId="763809C4" w14:textId="5A6583E6" w:rsidR="006C42AB" w:rsidRPr="00B5203C" w:rsidRDefault="006C42AB" w:rsidP="007F2CAE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t>09/2</w:t>
      </w:r>
      <w:r w:rsidR="008D7012" w:rsidRPr="00B5203C">
        <w:rPr>
          <w:rFonts w:ascii="Times New Roman" w:hAnsi="Times New Roman" w:cs="Times New Roman"/>
          <w:sz w:val="36"/>
          <w:szCs w:val="36"/>
        </w:rPr>
        <w:t>1/2019</w:t>
      </w:r>
    </w:p>
    <w:p w14:paraId="29EEAABC" w14:textId="77777777" w:rsidR="006C42AB" w:rsidRPr="00B5203C" w:rsidRDefault="006C42AB" w:rsidP="007F2CAE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B5203C">
        <w:rPr>
          <w:rFonts w:ascii="Times New Roman" w:hAnsi="Times New Roman" w:cs="Times New Roman"/>
          <w:sz w:val="36"/>
          <w:szCs w:val="36"/>
        </w:rPr>
        <w:br w:type="page"/>
      </w:r>
    </w:p>
    <w:p w14:paraId="054CDDB1" w14:textId="3BE24DD8" w:rsidR="006C42AB" w:rsidRPr="00A0000F" w:rsidRDefault="00B07ACF" w:rsidP="007F2C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000F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18A4A3F9" w14:textId="7A1962BC" w:rsidR="006C42AB" w:rsidRPr="00A0000F" w:rsidRDefault="00B07ACF" w:rsidP="007F2CAE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A0000F">
        <w:rPr>
          <w:rFonts w:ascii="Times New Roman" w:hAnsi="Times New Roman" w:cs="Times New Roman"/>
          <w:sz w:val="24"/>
          <w:szCs w:val="24"/>
        </w:rPr>
        <w:t xml:space="preserve">This is Microsoft Word Report accompanying Microsoft Excel Workbook. In </w:t>
      </w:r>
      <w:r w:rsidR="00A0000F" w:rsidRPr="00A0000F">
        <w:rPr>
          <w:rFonts w:ascii="Times New Roman" w:hAnsi="Times New Roman" w:cs="Times New Roman"/>
          <w:sz w:val="24"/>
          <w:szCs w:val="24"/>
        </w:rPr>
        <w:t xml:space="preserve">my workbook, I analyzed USA cars dataset. Data was provided by class instructor, Tom </w:t>
      </w:r>
      <w:proofErr w:type="spellStart"/>
      <w:r w:rsidR="00A0000F" w:rsidRPr="00A0000F">
        <w:rPr>
          <w:rFonts w:ascii="Times New Roman" w:hAnsi="Times New Roman" w:cs="Times New Roman"/>
          <w:sz w:val="24"/>
          <w:szCs w:val="24"/>
        </w:rPr>
        <w:t>Breur</w:t>
      </w:r>
      <w:proofErr w:type="spellEnd"/>
      <w:r w:rsidR="00A0000F" w:rsidRPr="00A0000F">
        <w:rPr>
          <w:rFonts w:ascii="Times New Roman" w:hAnsi="Times New Roman" w:cs="Times New Roman"/>
          <w:sz w:val="24"/>
          <w:szCs w:val="24"/>
        </w:rPr>
        <w:t>, and derived from USA government database.</w:t>
      </w:r>
      <w:r w:rsidR="00A0000F">
        <w:rPr>
          <w:rFonts w:ascii="Times New Roman" w:hAnsi="Times New Roman" w:cs="Times New Roman"/>
          <w:sz w:val="24"/>
          <w:szCs w:val="24"/>
        </w:rPr>
        <w:t xml:space="preserve"> It consisted of information </w:t>
      </w:r>
      <w:r w:rsidR="009D6806">
        <w:rPr>
          <w:rFonts w:ascii="Times New Roman" w:hAnsi="Times New Roman" w:cs="Times New Roman"/>
          <w:sz w:val="24"/>
          <w:szCs w:val="24"/>
        </w:rPr>
        <w:t>about percentage</w:t>
      </w:r>
      <w:r w:rsidR="00A0000F">
        <w:rPr>
          <w:rFonts w:ascii="Times New Roman" w:hAnsi="Times New Roman" w:cs="Times New Roman"/>
          <w:sz w:val="24"/>
          <w:szCs w:val="24"/>
        </w:rPr>
        <w:t xml:space="preserve"> of household without vehicle and average number of vehicles in 317 USA cities for years 2015 and 2016.</w:t>
      </w:r>
      <w:r w:rsidR="009D6806">
        <w:rPr>
          <w:rFonts w:ascii="Times New Roman" w:hAnsi="Times New Roman" w:cs="Times New Roman"/>
          <w:sz w:val="24"/>
          <w:szCs w:val="24"/>
        </w:rPr>
        <w:t xml:space="preserve"> Data was cleaned, organized and ready for analysis. I used descriptive statistics to gain some insights. Also, I utilized powerful Excel built-in functions and graphs to dive deeper to observe hidden patterns and visually communicate my findings to audience. </w:t>
      </w:r>
      <w:r w:rsidR="006C42AB" w:rsidRPr="00A0000F">
        <w:rPr>
          <w:rFonts w:ascii="Times New Roman" w:hAnsi="Times New Roman" w:cs="Times New Roman"/>
          <w:sz w:val="40"/>
          <w:szCs w:val="40"/>
        </w:rPr>
        <w:br w:type="page"/>
      </w:r>
    </w:p>
    <w:p w14:paraId="74C90C29" w14:textId="106F499B" w:rsidR="006C42AB" w:rsidRDefault="008D7012" w:rsidP="007F2C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Analysis</w:t>
      </w:r>
    </w:p>
    <w:p w14:paraId="304A357F" w14:textId="3D186A23" w:rsidR="008D7012" w:rsidRDefault="008D7012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2016 number of vehicles per household data (it is the latest we have), top 10 </w:t>
      </w:r>
      <w:r w:rsidR="00B95B30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per number of vehicles are usually located in the west side of USA. On the other all </w:t>
      </w:r>
      <w:r w:rsidR="00CD00CA">
        <w:rPr>
          <w:rFonts w:ascii="Times New Roman" w:hAnsi="Times New Roman" w:cs="Times New Roman"/>
          <w:sz w:val="24"/>
          <w:szCs w:val="24"/>
        </w:rPr>
        <w:t>9 of</w:t>
      </w:r>
      <w:r w:rsidR="00B95B30">
        <w:rPr>
          <w:rFonts w:ascii="Times New Roman" w:hAnsi="Times New Roman" w:cs="Times New Roman"/>
          <w:sz w:val="24"/>
          <w:szCs w:val="24"/>
        </w:rPr>
        <w:t xml:space="preserve"> 10 states in the bottom part of that table is from north-east region of United States</w:t>
      </w:r>
      <w:r w:rsidR="00CD00CA">
        <w:rPr>
          <w:rFonts w:ascii="Times New Roman" w:hAnsi="Times New Roman" w:cs="Times New Roman"/>
          <w:sz w:val="24"/>
          <w:szCs w:val="24"/>
        </w:rPr>
        <w:t>. Moreover 8 of these 9 states is the part of outlier group for the data of 2016 percentage of household without vehicles</w:t>
      </w:r>
      <w:r w:rsidR="00876BB9">
        <w:rPr>
          <w:rFonts w:ascii="Times New Roman" w:hAnsi="Times New Roman" w:cs="Times New Roman"/>
          <w:sz w:val="24"/>
          <w:szCs w:val="24"/>
        </w:rPr>
        <w:t>. There is no clear way to define outliers. But in my analysis, I defined an outlier as data point which is 1.5IR (Interquartile Range) above third percentile or 1.5 IR below first percentile.</w:t>
      </w:r>
      <w:r w:rsidR="00B95B30">
        <w:rPr>
          <w:rFonts w:ascii="Times New Roman" w:hAnsi="Times New Roman" w:cs="Times New Roman"/>
          <w:sz w:val="24"/>
          <w:szCs w:val="24"/>
        </w:rPr>
        <w:t xml:space="preserve"> </w:t>
      </w:r>
      <w:r w:rsidR="00876BB9">
        <w:rPr>
          <w:rFonts w:ascii="Times New Roman" w:hAnsi="Times New Roman" w:cs="Times New Roman"/>
          <w:sz w:val="24"/>
          <w:szCs w:val="24"/>
        </w:rPr>
        <w:t>Excel boxplot uses this criterion to define an outlier.</w:t>
      </w:r>
      <w:r w:rsidR="00876BB9" w:rsidRPr="00876BB9">
        <w:rPr>
          <w:rFonts w:ascii="Times New Roman" w:hAnsi="Times New Roman" w:cs="Times New Roman"/>
          <w:sz w:val="24"/>
          <w:szCs w:val="24"/>
        </w:rPr>
        <w:t xml:space="preserve"> </w:t>
      </w:r>
      <w:r w:rsidR="00876BB9">
        <w:rPr>
          <w:rFonts w:ascii="Times New Roman" w:hAnsi="Times New Roman" w:cs="Times New Roman"/>
          <w:sz w:val="24"/>
          <w:szCs w:val="24"/>
        </w:rPr>
        <w:t>Reasons which I mentioned above can signal us that north-east regions have very good public transportation and people prefer them to owning car.</w:t>
      </w:r>
    </w:p>
    <w:p w14:paraId="1710EBF1" w14:textId="2FE9F758" w:rsidR="006124E6" w:rsidRDefault="006124E6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361E790C" wp14:editId="70BF6784">
                <wp:extent cx="5623560" cy="3985260"/>
                <wp:effectExtent l="0" t="0" r="15240" b="1524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02CE3-24DD-43C2-AE1F-45B01FAB0D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61E790C" wp14:editId="70BF6784">
                <wp:extent cx="5623560" cy="3985260"/>
                <wp:effectExtent l="0" t="0" r="15240" b="1524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02CE3-24DD-43C2-AE1F-45B01FAB0D8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31C02CE3-24DD-43C2-AE1F-45B01FAB0D8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3560" cy="398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C2A93C" w14:textId="129B425E" w:rsidR="006124E6" w:rsidRDefault="006124E6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5292FB8E" wp14:editId="01D90F14">
                <wp:extent cx="5798820" cy="3627120"/>
                <wp:effectExtent l="0" t="0" r="11430" b="1143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1E30F9-0125-4BE6-927A-7997EB974B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5292FB8E" wp14:editId="01D90F14">
                <wp:extent cx="5798820" cy="3627120"/>
                <wp:effectExtent l="0" t="0" r="11430" b="1143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1E30F9-0125-4BE6-927A-7997EB974BE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5D1E30F9-0125-4BE6-927A-7997EB974BE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820" cy="3627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6E90D8" w14:textId="01934581" w:rsidR="00CE19CA" w:rsidRDefault="00CE19CA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720CCFE8" wp14:editId="3FB68A5C">
                <wp:extent cx="5775960" cy="3093720"/>
                <wp:effectExtent l="0" t="0" r="15240" b="1143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D915CD-D8DC-4441-8086-0F18F67223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720CCFE8" wp14:editId="3FB68A5C">
                <wp:extent cx="5775960" cy="3093720"/>
                <wp:effectExtent l="0" t="0" r="15240" b="1143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D915CD-D8DC-4441-8086-0F18F672233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9CD915CD-D8DC-4441-8086-0F18F672233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5960" cy="309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2AB36C" w14:textId="1B5CFD4F" w:rsidR="00AC1126" w:rsidRDefault="00AC1126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interesting point is that in Utah average household has 2 cars in both years and it was only state like that. The other interesting fact is that, New </w:t>
      </w:r>
      <w:r w:rsidR="00CE19CA">
        <w:rPr>
          <w:rFonts w:ascii="Times New Roman" w:hAnsi="Times New Roman" w:cs="Times New Roman"/>
          <w:sz w:val="24"/>
          <w:szCs w:val="24"/>
        </w:rPr>
        <w:t>York, 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9C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extreme outlier in both years with more than half of households without a car. </w:t>
      </w:r>
    </w:p>
    <w:p w14:paraId="694DBBAE" w14:textId="0783C31A" w:rsidR="006124E6" w:rsidRDefault="00383AF0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Examining data for 2015 yield almost same results. This also demonstrate that there is something different in the peoples’ view about car ownership and good public transport is a good candidate to explain that. But without having any information about wellness of public </w:t>
      </w:r>
      <w:r w:rsidR="007048D8">
        <w:rPr>
          <w:rFonts w:ascii="Times New Roman" w:hAnsi="Times New Roman" w:cs="Times New Roman"/>
          <w:sz w:val="24"/>
          <w:szCs w:val="24"/>
        </w:rPr>
        <w:t>transport, it</w:t>
      </w:r>
      <w:r>
        <w:rPr>
          <w:rFonts w:ascii="Times New Roman" w:hAnsi="Times New Roman" w:cs="Times New Roman"/>
          <w:sz w:val="24"/>
          <w:szCs w:val="24"/>
        </w:rPr>
        <w:t xml:space="preserve"> is impossible to conclude that. </w:t>
      </w:r>
      <w:r w:rsidR="005F56B5">
        <w:rPr>
          <w:rFonts w:ascii="Times New Roman" w:hAnsi="Times New Roman" w:cs="Times New Roman"/>
          <w:sz w:val="24"/>
          <w:szCs w:val="24"/>
        </w:rPr>
        <w:t>Moreover 8 of these states with lowest car ownership is among top 10 densely populated states of USA</w:t>
      </w:r>
      <w:r w:rsidR="007F2CAE">
        <w:rPr>
          <w:rFonts w:ascii="Times New Roman" w:hAnsi="Times New Roman" w:cs="Times New Roman"/>
          <w:sz w:val="24"/>
          <w:szCs w:val="24"/>
        </w:rPr>
        <w:t xml:space="preserve"> (2019, World Population Review)</w:t>
      </w:r>
      <w:r w:rsidR="005F56B5">
        <w:rPr>
          <w:rFonts w:ascii="Times New Roman" w:hAnsi="Times New Roman" w:cs="Times New Roman"/>
          <w:sz w:val="24"/>
          <w:szCs w:val="24"/>
        </w:rPr>
        <w:t xml:space="preserve">. This is also important because it signal that car ownership and population density is in negative correlation. Maybe high population density is a cause for high number of traffic jams and eventually people prefer to not own a car. </w:t>
      </w:r>
    </w:p>
    <w:p w14:paraId="71D7F1AF" w14:textId="0ABAD02A" w:rsidR="00187801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7048D8">
        <w:rPr>
          <w:rFonts w:ascii="Times New Roman" w:hAnsi="Times New Roman" w:cs="Times New Roman"/>
          <w:sz w:val="24"/>
          <w:szCs w:val="24"/>
        </w:rPr>
        <w:t xml:space="preserve">I used descriptive statistics to analyze both </w:t>
      </w:r>
      <w:r w:rsidR="004E0DE9">
        <w:rPr>
          <w:rFonts w:ascii="Times New Roman" w:hAnsi="Times New Roman" w:cs="Times New Roman"/>
          <w:sz w:val="24"/>
          <w:szCs w:val="24"/>
        </w:rPr>
        <w:t>of 2015</w:t>
      </w:r>
      <w:r w:rsidR="007048D8">
        <w:rPr>
          <w:rFonts w:ascii="Times New Roman" w:hAnsi="Times New Roman" w:cs="Times New Roman"/>
          <w:sz w:val="24"/>
          <w:szCs w:val="24"/>
        </w:rPr>
        <w:t xml:space="preserve"> and 2015 average car ownership data. Results were almost same. Both data had almost -0.5 skewness and 0.65 </w:t>
      </w:r>
      <w:r w:rsidR="00644D26">
        <w:rPr>
          <w:rFonts w:ascii="Times New Roman" w:hAnsi="Times New Roman" w:cs="Times New Roman"/>
          <w:sz w:val="24"/>
          <w:szCs w:val="24"/>
        </w:rPr>
        <w:t>kurtosis</w:t>
      </w:r>
      <w:r w:rsidR="007048D8">
        <w:rPr>
          <w:rFonts w:ascii="Times New Roman" w:hAnsi="Times New Roman" w:cs="Times New Roman"/>
          <w:sz w:val="24"/>
          <w:szCs w:val="24"/>
        </w:rPr>
        <w:t>.</w:t>
      </w:r>
      <w:r w:rsidR="00644D26">
        <w:rPr>
          <w:rFonts w:ascii="Times New Roman" w:hAnsi="Times New Roman" w:cs="Times New Roman"/>
          <w:sz w:val="24"/>
          <w:szCs w:val="24"/>
        </w:rPr>
        <w:t xml:space="preserve"> </w:t>
      </w:r>
      <w:r w:rsidR="004E0DE9">
        <w:rPr>
          <w:rFonts w:ascii="Times New Roman" w:hAnsi="Times New Roman" w:cs="Times New Roman"/>
          <w:sz w:val="24"/>
          <w:szCs w:val="24"/>
        </w:rPr>
        <w:t>This statistic</w:t>
      </w:r>
      <w:r w:rsidR="00644D26">
        <w:rPr>
          <w:rFonts w:ascii="Times New Roman" w:hAnsi="Times New Roman" w:cs="Times New Roman"/>
          <w:sz w:val="24"/>
          <w:szCs w:val="24"/>
        </w:rPr>
        <w:t xml:space="preserve"> </w:t>
      </w:r>
      <w:r w:rsidR="002A5D1C">
        <w:rPr>
          <w:rFonts w:ascii="Times New Roman" w:hAnsi="Times New Roman" w:cs="Times New Roman"/>
          <w:sz w:val="24"/>
          <w:szCs w:val="24"/>
        </w:rPr>
        <w:t>demonstrates</w:t>
      </w:r>
      <w:r w:rsidR="00644D26">
        <w:rPr>
          <w:rFonts w:ascii="Times New Roman" w:hAnsi="Times New Roman" w:cs="Times New Roman"/>
          <w:sz w:val="24"/>
          <w:szCs w:val="24"/>
        </w:rPr>
        <w:t xml:space="preserve"> our data is skewed to the right. That is also backed by our </w:t>
      </w:r>
      <w:r w:rsidR="004E0DE9">
        <w:rPr>
          <w:rFonts w:ascii="Times New Roman" w:hAnsi="Times New Roman" w:cs="Times New Roman"/>
          <w:sz w:val="24"/>
          <w:szCs w:val="24"/>
        </w:rPr>
        <w:t xml:space="preserve">frequency distribution </w:t>
      </w:r>
      <w:r w:rsidR="00644D26">
        <w:rPr>
          <w:rFonts w:ascii="Times New Roman" w:hAnsi="Times New Roman" w:cs="Times New Roman"/>
          <w:sz w:val="24"/>
          <w:szCs w:val="24"/>
        </w:rPr>
        <w:t xml:space="preserve">histogram for </w:t>
      </w:r>
      <w:r w:rsidR="004E0DE9">
        <w:rPr>
          <w:rFonts w:ascii="Times New Roman" w:hAnsi="Times New Roman" w:cs="Times New Roman"/>
          <w:sz w:val="24"/>
          <w:szCs w:val="24"/>
        </w:rPr>
        <w:t xml:space="preserve">the </w:t>
      </w:r>
      <w:r w:rsidR="00644D26">
        <w:rPr>
          <w:rFonts w:ascii="Times New Roman" w:hAnsi="Times New Roman" w:cs="Times New Roman"/>
          <w:sz w:val="24"/>
          <w:szCs w:val="24"/>
        </w:rPr>
        <w:t>same data.</w:t>
      </w:r>
      <w:r w:rsidR="00876BB9">
        <w:rPr>
          <w:rFonts w:ascii="Times New Roman" w:hAnsi="Times New Roman" w:cs="Times New Roman"/>
          <w:sz w:val="24"/>
          <w:szCs w:val="24"/>
        </w:rPr>
        <w:t xml:space="preserve"> It is clearly visible that relative frequency distribution for percentage of households without a car for both years is right skewed.</w:t>
      </w:r>
      <w:r w:rsidR="004E0DE9">
        <w:rPr>
          <w:rFonts w:ascii="Times New Roman" w:hAnsi="Times New Roman" w:cs="Times New Roman"/>
          <w:sz w:val="24"/>
          <w:szCs w:val="24"/>
        </w:rPr>
        <w:t xml:space="preserve"> Also,</w:t>
      </w:r>
      <w:r w:rsidR="007048D8">
        <w:rPr>
          <w:rFonts w:ascii="Times New Roman" w:hAnsi="Times New Roman" w:cs="Times New Roman"/>
          <w:sz w:val="24"/>
          <w:szCs w:val="24"/>
        </w:rPr>
        <w:t xml:space="preserve"> standard error was 0.016 for </w:t>
      </w:r>
      <w:r w:rsidR="002A5D1C">
        <w:rPr>
          <w:rFonts w:ascii="Times New Roman" w:hAnsi="Times New Roman" w:cs="Times New Roman"/>
          <w:sz w:val="24"/>
          <w:szCs w:val="24"/>
        </w:rPr>
        <w:t>both</w:t>
      </w:r>
      <w:r w:rsidR="007048D8">
        <w:rPr>
          <w:rFonts w:ascii="Times New Roman" w:hAnsi="Times New Roman" w:cs="Times New Roman"/>
          <w:sz w:val="24"/>
          <w:szCs w:val="24"/>
        </w:rPr>
        <w:t xml:space="preserve">. Mean and median values </w:t>
      </w:r>
      <w:r w:rsidR="00644D26">
        <w:rPr>
          <w:rFonts w:ascii="Times New Roman" w:hAnsi="Times New Roman" w:cs="Times New Roman"/>
          <w:sz w:val="24"/>
          <w:szCs w:val="24"/>
        </w:rPr>
        <w:t xml:space="preserve">were approximately same. </w:t>
      </w:r>
    </w:p>
    <w:tbl>
      <w:tblPr>
        <w:tblW w:w="9256" w:type="dxa"/>
        <w:tblLook w:val="04A0" w:firstRow="1" w:lastRow="0" w:firstColumn="1" w:lastColumn="0" w:noHBand="0" w:noVBand="1"/>
      </w:tblPr>
      <w:tblGrid>
        <w:gridCol w:w="2300"/>
        <w:gridCol w:w="1671"/>
        <w:gridCol w:w="1017"/>
        <w:gridCol w:w="2470"/>
        <w:gridCol w:w="1798"/>
      </w:tblGrid>
      <w:tr w:rsidR="007F2CAE" w:rsidRPr="004E0DE9" w14:paraId="229E8600" w14:textId="77777777" w:rsidTr="007F2CAE">
        <w:trPr>
          <w:trHeight w:val="306"/>
        </w:trPr>
        <w:tc>
          <w:tcPr>
            <w:tcW w:w="39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D6706" w14:textId="77777777" w:rsidR="004E0DE9" w:rsidRPr="004E0DE9" w:rsidRDefault="004E0DE9" w:rsidP="007F2C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  <w:t>2015 Vehicles per Household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209B" w14:textId="77777777" w:rsidR="004E0DE9" w:rsidRPr="004E0DE9" w:rsidRDefault="004E0DE9" w:rsidP="007F2C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</w:pPr>
          </w:p>
        </w:tc>
        <w:tc>
          <w:tcPr>
            <w:tcW w:w="4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DA277" w14:textId="77777777" w:rsidR="004E0DE9" w:rsidRPr="004E0DE9" w:rsidRDefault="004E0DE9" w:rsidP="007F2C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  <w:t>2016 Vehicles per Household</w:t>
            </w:r>
          </w:p>
        </w:tc>
      </w:tr>
      <w:tr w:rsidR="007F2CAE" w:rsidRPr="004E0DE9" w14:paraId="34B444BF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E84" w14:textId="77777777" w:rsidR="004E0DE9" w:rsidRPr="004E0DE9" w:rsidRDefault="004E0DE9" w:rsidP="007F2C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val="en-GB" w:eastAsia="en-GB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807E" w14:textId="77777777" w:rsidR="004E0DE9" w:rsidRPr="004E0DE9" w:rsidRDefault="004E0DE9" w:rsidP="007F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20A4" w14:textId="77777777" w:rsidR="004E0DE9" w:rsidRPr="004E0DE9" w:rsidRDefault="004E0DE9" w:rsidP="007F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F643" w14:textId="77777777" w:rsidR="004E0DE9" w:rsidRPr="004E0DE9" w:rsidRDefault="004E0DE9" w:rsidP="007F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5B80" w14:textId="77777777" w:rsidR="004E0DE9" w:rsidRPr="004E0DE9" w:rsidRDefault="004E0DE9" w:rsidP="007F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F2CAE" w:rsidRPr="004E0DE9" w14:paraId="7A891CAE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27FC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Mean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A4CB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1.691041009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D12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968C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Mean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2584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1.715362776</w:t>
            </w:r>
          </w:p>
        </w:tc>
      </w:tr>
      <w:tr w:rsidR="007F2CAE" w:rsidRPr="004E0DE9" w14:paraId="1132E167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658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Standard Error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C6FB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0.01639595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4C26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13C9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Standard Error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F8E3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0.016791423</w:t>
            </w:r>
          </w:p>
        </w:tc>
      </w:tr>
      <w:tr w:rsidR="007F2CAE" w:rsidRPr="004E0DE9" w14:paraId="3CD50AC5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E416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Median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1EA0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1.68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928E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E6E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Median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5853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1.72</w:t>
            </w:r>
          </w:p>
        </w:tc>
      </w:tr>
      <w:tr w:rsidR="007F2CAE" w:rsidRPr="004E0DE9" w14:paraId="3C8367F5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FE42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Mode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09E3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101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5A1E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Mode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F742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1.69</w:t>
            </w:r>
          </w:p>
        </w:tc>
      </w:tr>
      <w:tr w:rsidR="007F2CAE" w:rsidRPr="004E0DE9" w14:paraId="0A2BC1E8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F8B3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Standard Deviation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A493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0.291921593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6210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BE4E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Standard Deviation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7C8A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0.298962781</w:t>
            </w:r>
          </w:p>
        </w:tc>
      </w:tr>
      <w:tr w:rsidR="007F2CAE" w:rsidRPr="004E0DE9" w14:paraId="175BEA3F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99DA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Sample Variance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1F5B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0.085218217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B3C3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12E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Sample Variance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042B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0.089378745</w:t>
            </w:r>
          </w:p>
        </w:tc>
      </w:tr>
      <w:tr w:rsidR="007F2CAE" w:rsidRPr="004E0DE9" w14:paraId="17BBB8C8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39D8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Kurtosis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EDD6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0.682849762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E078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1823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Kurtosis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C78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0.627163335</w:t>
            </w:r>
          </w:p>
        </w:tc>
      </w:tr>
      <w:tr w:rsidR="007F2CAE" w:rsidRPr="004E0DE9" w14:paraId="723F9218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7FA4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Skewness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5C8" w14:textId="45D288A4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0.504133096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9421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9419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Skewness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6252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-0.512692645</w:t>
            </w:r>
          </w:p>
        </w:tc>
      </w:tr>
      <w:tr w:rsidR="007F2CAE" w:rsidRPr="004E0DE9" w14:paraId="1F4D1A9A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864D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Range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AE1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1.76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91C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86A6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Range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369D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1.73</w:t>
            </w:r>
          </w:p>
        </w:tc>
      </w:tr>
      <w:tr w:rsidR="007F2CAE" w:rsidRPr="004E0DE9" w14:paraId="1B1DB537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3932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Minimum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164C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2112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A9FA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Minimum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87CE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0.63</w:t>
            </w:r>
          </w:p>
        </w:tc>
      </w:tr>
      <w:tr w:rsidR="007F2CAE" w:rsidRPr="004E0DE9" w14:paraId="3AF3D655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CE7A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Maximum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13C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BED9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4BB8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Maximum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B739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2.36</w:t>
            </w:r>
          </w:p>
        </w:tc>
      </w:tr>
      <w:tr w:rsidR="007F2CAE" w:rsidRPr="004E0DE9" w14:paraId="240949EC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F70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Sum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8D3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536.06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7065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A99D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Sum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941F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543.77</w:t>
            </w:r>
          </w:p>
        </w:tc>
      </w:tr>
      <w:tr w:rsidR="007F2CAE" w:rsidRPr="004E0DE9" w14:paraId="0C27C396" w14:textId="77777777" w:rsidTr="007F2CAE">
        <w:trPr>
          <w:trHeight w:val="306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5A25A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Count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21257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5D8E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1B82" w14:textId="77777777" w:rsidR="004E0DE9" w:rsidRPr="004E0DE9" w:rsidRDefault="004E0DE9" w:rsidP="007F2C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Count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BF4B5" w14:textId="77777777" w:rsidR="004E0DE9" w:rsidRPr="004E0DE9" w:rsidRDefault="004E0DE9" w:rsidP="007F2C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4E0DE9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317</w:t>
            </w:r>
          </w:p>
        </w:tc>
      </w:tr>
    </w:tbl>
    <w:p w14:paraId="20E513D7" w14:textId="77777777" w:rsidR="004E0DE9" w:rsidRDefault="004E0DE9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9A12A" w14:textId="1616B640" w:rsidR="004E0DE9" w:rsidRDefault="004E0DE9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A7684" wp14:editId="5ABBCA4C">
            <wp:extent cx="5753100" cy="41452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D12E49D-69FC-45D4-9FC7-209199C8B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40F504" w14:textId="5D309972" w:rsidR="00383AF0" w:rsidRDefault="00DF0CF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2A5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help of Excel’s scatter plot I analyzed the similarities of 2015 and 2016 average vehicle per household numbers. This analysis present that, there is a</w:t>
      </w:r>
      <w:r w:rsidR="00177BA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obvious correlation between these two series which quite reasonable because people usually keep their cars for at least 5 years. When they become car owner, it gradually </w:t>
      </w:r>
      <w:r w:rsidR="00AC1126">
        <w:rPr>
          <w:rFonts w:ascii="Times New Roman" w:hAnsi="Times New Roman" w:cs="Times New Roman"/>
          <w:sz w:val="24"/>
          <w:szCs w:val="24"/>
        </w:rPr>
        <w:t>increases</w:t>
      </w:r>
      <w:r>
        <w:rPr>
          <w:rFonts w:ascii="Times New Roman" w:hAnsi="Times New Roman" w:cs="Times New Roman"/>
          <w:sz w:val="24"/>
          <w:szCs w:val="24"/>
        </w:rPr>
        <w:t xml:space="preserve"> the average car ownership. But since correlation </w:t>
      </w:r>
      <w:r w:rsidR="00AC1126">
        <w:rPr>
          <w:rFonts w:ascii="Times New Roman" w:hAnsi="Times New Roman" w:cs="Times New Roman"/>
          <w:sz w:val="24"/>
          <w:szCs w:val="24"/>
        </w:rPr>
        <w:t>does not imply</w:t>
      </w:r>
      <w:r>
        <w:rPr>
          <w:rFonts w:ascii="Times New Roman" w:hAnsi="Times New Roman" w:cs="Times New Roman"/>
          <w:sz w:val="24"/>
          <w:szCs w:val="24"/>
        </w:rPr>
        <w:t xml:space="preserve"> causation, we </w:t>
      </w:r>
      <w:r w:rsidR="00AC1126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conclude that </w:t>
      </w:r>
      <w:r w:rsidR="00AC1126">
        <w:rPr>
          <w:rFonts w:ascii="Times New Roman" w:hAnsi="Times New Roman" w:cs="Times New Roman"/>
          <w:sz w:val="24"/>
          <w:szCs w:val="24"/>
        </w:rPr>
        <w:t>there is causation between these two.</w:t>
      </w:r>
    </w:p>
    <w:p w14:paraId="2C7B8514" w14:textId="19AD21DD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F8EDB5" w14:textId="65C40B19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EAAFD3" w14:textId="42680127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01044B" w14:textId="610E83E4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E6A915" w14:textId="1FF149A5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30F91" w14:textId="3898F23C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91C95A" w14:textId="77777777" w:rsidR="00177BAC" w:rsidRDefault="00177BA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C19058" w14:textId="0413C2AA" w:rsidR="00DF0CFC" w:rsidRDefault="00DF0CFC" w:rsidP="007F2CAE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0CEF2406" wp14:editId="714CACB5">
            <wp:extent cx="5882640" cy="5417820"/>
            <wp:effectExtent l="0" t="0" r="3810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86E1A3-AABB-43C0-BEAD-FEC553C5C7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617F78B" w14:textId="59B686FB" w:rsidR="00187801" w:rsidRDefault="00187801" w:rsidP="007A2BCE">
      <w:pPr>
        <w:tabs>
          <w:tab w:val="left" w:pos="13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533EF" w14:textId="77777777" w:rsidR="007A2BCE" w:rsidRDefault="007A2BCE" w:rsidP="007A2BCE">
      <w:pPr>
        <w:tabs>
          <w:tab w:val="left" w:pos="13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826F6" w14:textId="77777777" w:rsidR="00177BAC" w:rsidRDefault="00177BAC" w:rsidP="007F2CAE">
      <w:pPr>
        <w:tabs>
          <w:tab w:val="left" w:pos="134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DF094" w14:textId="77777777" w:rsidR="00177BAC" w:rsidRDefault="00177BAC" w:rsidP="007F2CAE">
      <w:pPr>
        <w:tabs>
          <w:tab w:val="left" w:pos="134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C8798" w14:textId="77777777" w:rsidR="00177BAC" w:rsidRDefault="00177BAC" w:rsidP="007F2CAE">
      <w:pPr>
        <w:tabs>
          <w:tab w:val="left" w:pos="134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CC6E5" w14:textId="19E66E92" w:rsidR="00CE19CA" w:rsidRDefault="00CE19CA" w:rsidP="007F2CAE">
      <w:pPr>
        <w:tabs>
          <w:tab w:val="left" w:pos="134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5F9CCAAB" w14:textId="77777777" w:rsidR="009A771A" w:rsidRPr="00CE19CA" w:rsidRDefault="00CE19CA" w:rsidP="009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conclude, I used Excel and its libraries to analyze a USA car ownership data. </w:t>
      </w:r>
      <w:r w:rsidR="00664408">
        <w:rPr>
          <w:rFonts w:ascii="Times New Roman" w:hAnsi="Times New Roman" w:cs="Times New Roman"/>
          <w:sz w:val="24"/>
          <w:szCs w:val="24"/>
        </w:rPr>
        <w:t>Data had information about 2015 and 2016 car ownership statistics for USA states and cities. Key finding was that, north-east regions of USA was massively different than other states. People in these states usually preferred to not own a car.</w:t>
      </w:r>
      <w:r w:rsidR="004C6C3C">
        <w:rPr>
          <w:rFonts w:ascii="Times New Roman" w:hAnsi="Times New Roman" w:cs="Times New Roman"/>
          <w:sz w:val="24"/>
          <w:szCs w:val="24"/>
        </w:rPr>
        <w:t xml:space="preserve"> </w:t>
      </w:r>
      <w:r w:rsidR="007F2CAE">
        <w:rPr>
          <w:rFonts w:ascii="Times New Roman" w:hAnsi="Times New Roman" w:cs="Times New Roman"/>
          <w:sz w:val="24"/>
          <w:szCs w:val="24"/>
        </w:rPr>
        <w:t>Also,</w:t>
      </w:r>
      <w:r w:rsidR="004C6C3C">
        <w:rPr>
          <w:rFonts w:ascii="Times New Roman" w:hAnsi="Times New Roman" w:cs="Times New Roman"/>
          <w:sz w:val="24"/>
          <w:szCs w:val="24"/>
        </w:rPr>
        <w:t xml:space="preserve"> these states were among the most densely populated USA states.</w:t>
      </w:r>
      <w:r w:rsidR="00664408">
        <w:rPr>
          <w:rFonts w:ascii="Times New Roman" w:hAnsi="Times New Roman" w:cs="Times New Roman"/>
          <w:sz w:val="24"/>
          <w:szCs w:val="24"/>
        </w:rPr>
        <w:t xml:space="preserve"> New York, NY was the most extreme one with almost 54% households without a car. In order to conclude that this was due to good public transportation system</w:t>
      </w:r>
      <w:r w:rsidR="004C6C3C">
        <w:rPr>
          <w:rFonts w:ascii="Times New Roman" w:hAnsi="Times New Roman" w:cs="Times New Roman"/>
          <w:sz w:val="24"/>
          <w:szCs w:val="24"/>
        </w:rPr>
        <w:t xml:space="preserve"> or population density</w:t>
      </w:r>
      <w:r w:rsidR="00664408">
        <w:rPr>
          <w:rFonts w:ascii="Times New Roman" w:hAnsi="Times New Roman" w:cs="Times New Roman"/>
          <w:sz w:val="24"/>
          <w:szCs w:val="24"/>
        </w:rPr>
        <w:t xml:space="preserve"> we need to analyze data about transportation</w:t>
      </w:r>
      <w:r w:rsidR="004C6C3C">
        <w:rPr>
          <w:rFonts w:ascii="Times New Roman" w:hAnsi="Times New Roman" w:cs="Times New Roman"/>
          <w:sz w:val="24"/>
          <w:szCs w:val="24"/>
        </w:rPr>
        <w:t xml:space="preserve"> and population</w:t>
      </w:r>
      <w:r w:rsidR="00664408">
        <w:rPr>
          <w:rFonts w:ascii="Times New Roman" w:hAnsi="Times New Roman" w:cs="Times New Roman"/>
          <w:sz w:val="24"/>
          <w:szCs w:val="24"/>
        </w:rPr>
        <w:t xml:space="preserve"> in these </w:t>
      </w:r>
      <w:r w:rsidR="004C6C3C">
        <w:rPr>
          <w:rFonts w:ascii="Times New Roman" w:hAnsi="Times New Roman" w:cs="Times New Roman"/>
          <w:sz w:val="24"/>
          <w:szCs w:val="24"/>
        </w:rPr>
        <w:t>states</w:t>
      </w:r>
      <w:r w:rsidR="00664408">
        <w:rPr>
          <w:rFonts w:ascii="Times New Roman" w:hAnsi="Times New Roman" w:cs="Times New Roman"/>
          <w:sz w:val="24"/>
          <w:szCs w:val="24"/>
        </w:rPr>
        <w:t xml:space="preserve">. Moreover, average car ownership for United States slightly increased from 1.69 to 1.72. </w:t>
      </w:r>
      <w:r w:rsidR="000456EB">
        <w:rPr>
          <w:rFonts w:ascii="Times New Roman" w:hAnsi="Times New Roman" w:cs="Times New Roman"/>
          <w:sz w:val="24"/>
          <w:szCs w:val="24"/>
        </w:rPr>
        <w:t>Finally, in 2015 and 2016,</w:t>
      </w:r>
      <w:r w:rsidR="00664408">
        <w:rPr>
          <w:rFonts w:ascii="Times New Roman" w:hAnsi="Times New Roman" w:cs="Times New Roman"/>
          <w:sz w:val="24"/>
          <w:szCs w:val="24"/>
        </w:rPr>
        <w:t xml:space="preserve"> </w:t>
      </w:r>
      <w:r w:rsidR="000456EB">
        <w:rPr>
          <w:rFonts w:ascii="Times New Roman" w:hAnsi="Times New Roman" w:cs="Times New Roman"/>
          <w:sz w:val="24"/>
          <w:szCs w:val="24"/>
        </w:rPr>
        <w:t>percentage of cities in which 90% or more households owned a car were 67.51 and 70.98</w:t>
      </w:r>
      <w:r w:rsidR="009A771A">
        <w:rPr>
          <w:rFonts w:ascii="Times New Roman" w:hAnsi="Times New Roman" w:cs="Times New Roman"/>
          <w:sz w:val="24"/>
          <w:szCs w:val="24"/>
        </w:rPr>
        <w:t>, in respectively.</w:t>
      </w:r>
    </w:p>
    <w:p w14:paraId="1D2AA288" w14:textId="4D50E135" w:rsidR="004C6C3C" w:rsidRDefault="004C6C3C" w:rsidP="007F2CAE">
      <w:pPr>
        <w:tabs>
          <w:tab w:val="left" w:pos="13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96BF3D" w14:textId="77777777" w:rsidR="004C6C3C" w:rsidRDefault="004C6C3C" w:rsidP="007F2C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AD271" w14:textId="3C55A6B2" w:rsidR="004C6C3C" w:rsidRDefault="004C6C3C" w:rsidP="007F2CAE">
      <w:pPr>
        <w:tabs>
          <w:tab w:val="left" w:pos="1344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245F5188" w14:textId="3DD9BA8B" w:rsidR="004C6C3C" w:rsidRPr="007F2CAE" w:rsidRDefault="004C6C3C" w:rsidP="007F2CAE">
      <w:pPr>
        <w:tabs>
          <w:tab w:val="left" w:pos="134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F2CAE">
        <w:rPr>
          <w:color w:val="333333"/>
          <w:shd w:val="clear" w:color="auto" w:fill="FFFFFF"/>
        </w:rPr>
        <w:t xml:space="preserve">(2019, August 28). </w:t>
      </w:r>
      <w:r w:rsidR="007F2CAE" w:rsidRPr="007F2CAE">
        <w:rPr>
          <w:color w:val="333333"/>
          <w:shd w:val="clear" w:color="auto" w:fill="FFFFFF"/>
        </w:rPr>
        <w:t xml:space="preserve">World Population Review. </w:t>
      </w:r>
      <w:r w:rsidRPr="007F2CAE">
        <w:rPr>
          <w:color w:val="333333"/>
          <w:shd w:val="clear" w:color="auto" w:fill="FFFFFF"/>
        </w:rPr>
        <w:t xml:space="preserve">Retrieved from </w:t>
      </w:r>
      <w:r w:rsidR="007F2CAE">
        <w:rPr>
          <w:color w:val="333333"/>
          <w:shd w:val="clear" w:color="auto" w:fill="FFFFFF"/>
        </w:rPr>
        <w:t xml:space="preserve"> </w:t>
      </w:r>
      <w:hyperlink r:id="rId16" w:history="1">
        <w:r w:rsidR="00B36EDC">
          <w:rPr>
            <w:rStyle w:val="Hyperlink"/>
            <w:shd w:val="clear" w:color="auto" w:fill="FFFFFF"/>
          </w:rPr>
          <w:t>http://worldpop</w:t>
        </w:r>
        <w:bookmarkStart w:id="0" w:name="_GoBack"/>
        <w:bookmarkEnd w:id="0"/>
        <w:r w:rsidR="00B36EDC">
          <w:rPr>
            <w:rStyle w:val="Hyperlink"/>
            <w:shd w:val="clear" w:color="auto" w:fill="FFFFFF"/>
          </w:rPr>
          <w:t>u</w:t>
        </w:r>
        <w:r w:rsidR="00B36EDC">
          <w:rPr>
            <w:rStyle w:val="Hyperlink"/>
            <w:shd w:val="clear" w:color="auto" w:fill="FFFFFF"/>
          </w:rPr>
          <w:t>lationreview.com</w:t>
        </w:r>
      </w:hyperlink>
    </w:p>
    <w:sectPr w:rsidR="004C6C3C" w:rsidRPr="007F2CAE" w:rsidSect="007F2CAE">
      <w:headerReference w:type="default" r:id="rId17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67207" w14:textId="77777777" w:rsidR="001529D0" w:rsidRDefault="001529D0" w:rsidP="003E76F3">
      <w:pPr>
        <w:spacing w:after="0" w:line="240" w:lineRule="auto"/>
      </w:pPr>
      <w:r>
        <w:separator/>
      </w:r>
    </w:p>
  </w:endnote>
  <w:endnote w:type="continuationSeparator" w:id="0">
    <w:p w14:paraId="59E1EA4E" w14:textId="77777777" w:rsidR="001529D0" w:rsidRDefault="001529D0" w:rsidP="003E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AE7B" w14:textId="77777777" w:rsidR="001529D0" w:rsidRDefault="001529D0" w:rsidP="003E76F3">
      <w:pPr>
        <w:spacing w:after="0" w:line="240" w:lineRule="auto"/>
      </w:pPr>
      <w:r>
        <w:separator/>
      </w:r>
    </w:p>
  </w:footnote>
  <w:footnote w:type="continuationSeparator" w:id="0">
    <w:p w14:paraId="11E33958" w14:textId="77777777" w:rsidR="001529D0" w:rsidRDefault="001529D0" w:rsidP="003E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08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1DFD10" w14:textId="4D235F23" w:rsidR="006C42AB" w:rsidRDefault="006C42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0C2B95" w14:textId="1E7FA594" w:rsidR="006C42AB" w:rsidRDefault="007A2BCE">
    <w:pPr>
      <w:pStyle w:val="Header"/>
    </w:pPr>
    <w:r>
      <w:t>USA CARS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B0B"/>
    <w:multiLevelType w:val="hybridMultilevel"/>
    <w:tmpl w:val="F774A7CA"/>
    <w:lvl w:ilvl="0" w:tplc="9B76A3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333333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84"/>
    <w:rsid w:val="000456EB"/>
    <w:rsid w:val="0008561B"/>
    <w:rsid w:val="001529D0"/>
    <w:rsid w:val="00177BAC"/>
    <w:rsid w:val="00187801"/>
    <w:rsid w:val="002A5D1C"/>
    <w:rsid w:val="00383AF0"/>
    <w:rsid w:val="003E4B4A"/>
    <w:rsid w:val="003E76F3"/>
    <w:rsid w:val="004C6C3C"/>
    <w:rsid w:val="004E0DE9"/>
    <w:rsid w:val="005C7784"/>
    <w:rsid w:val="005F56B5"/>
    <w:rsid w:val="006124E6"/>
    <w:rsid w:val="00644D26"/>
    <w:rsid w:val="00664408"/>
    <w:rsid w:val="006C42AB"/>
    <w:rsid w:val="007048D8"/>
    <w:rsid w:val="007A2BCE"/>
    <w:rsid w:val="007F2CAE"/>
    <w:rsid w:val="00876BB9"/>
    <w:rsid w:val="008D7012"/>
    <w:rsid w:val="009023DF"/>
    <w:rsid w:val="009A771A"/>
    <w:rsid w:val="009D6806"/>
    <w:rsid w:val="00A0000F"/>
    <w:rsid w:val="00AC1126"/>
    <w:rsid w:val="00AE21FD"/>
    <w:rsid w:val="00B07ACF"/>
    <w:rsid w:val="00B36EDC"/>
    <w:rsid w:val="00B5203C"/>
    <w:rsid w:val="00B95B30"/>
    <w:rsid w:val="00CD00CA"/>
    <w:rsid w:val="00CE19CA"/>
    <w:rsid w:val="00D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3B87"/>
  <w15:chartTrackingRefBased/>
  <w15:docId w15:val="{2AEFE9A1-9A67-4B80-AB7E-0107EE8F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6F3"/>
  </w:style>
  <w:style w:type="paragraph" w:styleId="Footer">
    <w:name w:val="footer"/>
    <w:basedOn w:val="Normal"/>
    <w:link w:val="FooterChar"/>
    <w:uiPriority w:val="99"/>
    <w:unhideWhenUsed/>
    <w:rsid w:val="003E7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6F3"/>
  </w:style>
  <w:style w:type="character" w:styleId="Hyperlink">
    <w:name w:val="Hyperlink"/>
    <w:basedOn w:val="DefaultParagraphFont"/>
    <w:uiPriority w:val="99"/>
    <w:unhideWhenUsed/>
    <w:rsid w:val="004C6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orldpopulationreview.com/states/state-densi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microsoft.com/office/2014/relationships/chartEx" Target="charts/chartEx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mla%20Dumen\Desktop\mustafa_abdullayev_week1_projec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la%20Dumen\Desktop\mustafa_abdullayev_week1_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amla%20Dumen\Desktop\mustafa_abdullayev_week1_project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Damla%20Dumen\Desktop\mustafa_abdullayev_week1_project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Damla%20Dumen\Desktop\mustafa_abdullayev_week1_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%</a:t>
            </a:r>
            <a:r>
              <a:rPr lang="tr-TR" baseline="0"/>
              <a:t> of houseld without vehicle 2015</a:t>
            </a:r>
            <a:endParaRPr lang="en-GB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'Q2'!$D$15:$D$25</c:f>
              <c:strCache>
                <c:ptCount val="11"/>
                <c:pt idx="0">
                  <c:v>5%</c:v>
                </c:pt>
                <c:pt idx="1">
                  <c:v>10%</c:v>
                </c:pt>
                <c:pt idx="2">
                  <c:v>15%</c:v>
                </c:pt>
                <c:pt idx="3">
                  <c:v>20%</c:v>
                </c:pt>
                <c:pt idx="4">
                  <c:v>25%</c:v>
                </c:pt>
                <c:pt idx="5">
                  <c:v>30%</c:v>
                </c:pt>
                <c:pt idx="6">
                  <c:v>35%</c:v>
                </c:pt>
                <c:pt idx="7">
                  <c:v>40%</c:v>
                </c:pt>
                <c:pt idx="8">
                  <c:v>45%</c:v>
                </c:pt>
                <c:pt idx="9">
                  <c:v>50%</c:v>
                </c:pt>
                <c:pt idx="10">
                  <c:v>More</c:v>
                </c:pt>
              </c:strCache>
            </c:strRef>
          </c:cat>
          <c:val>
            <c:numRef>
              <c:f>'Q2'!$F$15:$F$25</c:f>
              <c:numCache>
                <c:formatCode>0%</c:formatCode>
                <c:ptCount val="11"/>
                <c:pt idx="0">
                  <c:v>0.27</c:v>
                </c:pt>
                <c:pt idx="1">
                  <c:v>0.44</c:v>
                </c:pt>
                <c:pt idx="2">
                  <c:v>0.15</c:v>
                </c:pt>
                <c:pt idx="3">
                  <c:v>0.05</c:v>
                </c:pt>
                <c:pt idx="4">
                  <c:v>0.03</c:v>
                </c:pt>
                <c:pt idx="5">
                  <c:v>0.03</c:v>
                </c:pt>
                <c:pt idx="6">
                  <c:v>0.01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1E-4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F3-4B75-8C6B-5D444E1614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928226776"/>
        <c:axId val="928227432"/>
      </c:barChart>
      <c:catAx>
        <c:axId val="928226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%</a:t>
                </a:r>
                <a:r>
                  <a:rPr lang="tr-TR" baseline="0"/>
                  <a:t> of households without car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8227432"/>
        <c:crosses val="autoZero"/>
        <c:auto val="1"/>
        <c:lblAlgn val="ctr"/>
        <c:lblOffset val="100"/>
        <c:noMultiLvlLbl val="0"/>
      </c:catAx>
      <c:valAx>
        <c:axId val="9282274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Frequency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crossAx val="928226776"/>
        <c:crosses val="autoZero"/>
        <c:crossBetween val="between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2015 vs </a:t>
            </a:r>
            <a:r>
              <a:rPr lang="en-GB"/>
              <a:t>2016 car ownership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'Q7'!$K$1</c:f>
              <c:strCache>
                <c:ptCount val="1"/>
                <c:pt idx="0">
                  <c:v>2016 average car ownership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'Q7'!$J$2:$J$47</c:f>
              <c:numCache>
                <c:formatCode>0.00</c:formatCode>
                <c:ptCount val="46"/>
                <c:pt idx="0">
                  <c:v>1.5924999999999998</c:v>
                </c:pt>
                <c:pt idx="1">
                  <c:v>1.84</c:v>
                </c:pt>
                <c:pt idx="2">
                  <c:v>1.73</c:v>
                </c:pt>
                <c:pt idx="3">
                  <c:v>1.59</c:v>
                </c:pt>
                <c:pt idx="4">
                  <c:v>1.9214666666666664</c:v>
                </c:pt>
                <c:pt idx="5">
                  <c:v>1.8761538461538465</c:v>
                </c:pt>
                <c:pt idx="6">
                  <c:v>1.282</c:v>
                </c:pt>
                <c:pt idx="7">
                  <c:v>0.89</c:v>
                </c:pt>
                <c:pt idx="8">
                  <c:v>1.6115999999999999</c:v>
                </c:pt>
                <c:pt idx="9">
                  <c:v>1.514285714285714</c:v>
                </c:pt>
                <c:pt idx="10">
                  <c:v>1.4</c:v>
                </c:pt>
                <c:pt idx="11">
                  <c:v>1.81</c:v>
                </c:pt>
                <c:pt idx="12">
                  <c:v>1.645</c:v>
                </c:pt>
                <c:pt idx="13">
                  <c:v>1.5425</c:v>
                </c:pt>
                <c:pt idx="14">
                  <c:v>1.7066666666666668</c:v>
                </c:pt>
                <c:pt idx="15">
                  <c:v>1.7880000000000003</c:v>
                </c:pt>
                <c:pt idx="16">
                  <c:v>1.62</c:v>
                </c:pt>
                <c:pt idx="17">
                  <c:v>1.5100000000000002</c:v>
                </c:pt>
                <c:pt idx="18">
                  <c:v>1.4</c:v>
                </c:pt>
                <c:pt idx="19">
                  <c:v>1.1599999999999999</c:v>
                </c:pt>
                <c:pt idx="20">
                  <c:v>1.5</c:v>
                </c:pt>
                <c:pt idx="21">
                  <c:v>1.5099999999999998</c:v>
                </c:pt>
                <c:pt idx="22">
                  <c:v>1.6</c:v>
                </c:pt>
                <c:pt idx="23">
                  <c:v>1.544</c:v>
                </c:pt>
                <c:pt idx="24">
                  <c:v>2.0499999999999998</c:v>
                </c:pt>
                <c:pt idx="25">
                  <c:v>1.71</c:v>
                </c:pt>
                <c:pt idx="26">
                  <c:v>1.67625</c:v>
                </c:pt>
                <c:pt idx="27">
                  <c:v>1.6</c:v>
                </c:pt>
                <c:pt idx="28">
                  <c:v>0.95</c:v>
                </c:pt>
                <c:pt idx="29">
                  <c:v>1.72</c:v>
                </c:pt>
                <c:pt idx="30">
                  <c:v>1.022</c:v>
                </c:pt>
                <c:pt idx="31">
                  <c:v>1.671111111111111</c:v>
                </c:pt>
                <c:pt idx="32">
                  <c:v>1.66</c:v>
                </c:pt>
                <c:pt idx="33">
                  <c:v>1.3583333333333334</c:v>
                </c:pt>
                <c:pt idx="34">
                  <c:v>1.8174999999999999</c:v>
                </c:pt>
                <c:pt idx="35">
                  <c:v>1.6219999999999999</c:v>
                </c:pt>
                <c:pt idx="36">
                  <c:v>1.1733333333333331</c:v>
                </c:pt>
                <c:pt idx="37">
                  <c:v>1.21</c:v>
                </c:pt>
                <c:pt idx="38">
                  <c:v>1.5433333333333332</c:v>
                </c:pt>
                <c:pt idx="39">
                  <c:v>1.79</c:v>
                </c:pt>
                <c:pt idx="40">
                  <c:v>1.6416666666666666</c:v>
                </c:pt>
                <c:pt idx="41">
                  <c:v>1.8007692307692305</c:v>
                </c:pt>
                <c:pt idx="42">
                  <c:v>2.0024999999999999</c:v>
                </c:pt>
                <c:pt idx="43">
                  <c:v>1.6325000000000001</c:v>
                </c:pt>
                <c:pt idx="44">
                  <c:v>1.70625</c:v>
                </c:pt>
                <c:pt idx="45">
                  <c:v>1.4733333333333334</c:v>
                </c:pt>
              </c:numCache>
            </c:numRef>
          </c:xVal>
          <c:yVal>
            <c:numRef>
              <c:f>'Q7'!$K$2:$K$47</c:f>
              <c:numCache>
                <c:formatCode>0.00</c:formatCode>
                <c:ptCount val="46"/>
                <c:pt idx="0">
                  <c:v>1.6125</c:v>
                </c:pt>
                <c:pt idx="1">
                  <c:v>1.95</c:v>
                </c:pt>
                <c:pt idx="2">
                  <c:v>1.7809999999999999</c:v>
                </c:pt>
                <c:pt idx="3">
                  <c:v>1.58</c:v>
                </c:pt>
                <c:pt idx="4">
                  <c:v>1.9606666666666663</c:v>
                </c:pt>
                <c:pt idx="5">
                  <c:v>1.8953846153846152</c:v>
                </c:pt>
                <c:pt idx="6">
                  <c:v>1.2920000000000003</c:v>
                </c:pt>
                <c:pt idx="7">
                  <c:v>0.86</c:v>
                </c:pt>
                <c:pt idx="8">
                  <c:v>1.6296000000000002</c:v>
                </c:pt>
                <c:pt idx="9">
                  <c:v>1.56</c:v>
                </c:pt>
                <c:pt idx="10">
                  <c:v>1.4</c:v>
                </c:pt>
                <c:pt idx="11">
                  <c:v>1.7</c:v>
                </c:pt>
                <c:pt idx="12">
                  <c:v>1.6574999999999998</c:v>
                </c:pt>
                <c:pt idx="13">
                  <c:v>1.5574999999999999</c:v>
                </c:pt>
                <c:pt idx="14">
                  <c:v>1.7066666666666668</c:v>
                </c:pt>
                <c:pt idx="15">
                  <c:v>1.78</c:v>
                </c:pt>
                <c:pt idx="16">
                  <c:v>1.655</c:v>
                </c:pt>
                <c:pt idx="17">
                  <c:v>1.502</c:v>
                </c:pt>
                <c:pt idx="18">
                  <c:v>1.4450000000000001</c:v>
                </c:pt>
                <c:pt idx="19">
                  <c:v>1.1759999999999999</c:v>
                </c:pt>
                <c:pt idx="20">
                  <c:v>1.5366666666666668</c:v>
                </c:pt>
                <c:pt idx="21">
                  <c:v>1.5166666666666668</c:v>
                </c:pt>
                <c:pt idx="22">
                  <c:v>1.68</c:v>
                </c:pt>
                <c:pt idx="23">
                  <c:v>1.5579999999999998</c:v>
                </c:pt>
                <c:pt idx="24">
                  <c:v>1.91</c:v>
                </c:pt>
                <c:pt idx="25">
                  <c:v>1.72</c:v>
                </c:pt>
                <c:pt idx="26">
                  <c:v>1.7025000000000001</c:v>
                </c:pt>
                <c:pt idx="27">
                  <c:v>1.56</c:v>
                </c:pt>
                <c:pt idx="28">
                  <c:v>0.97750000000000004</c:v>
                </c:pt>
                <c:pt idx="29">
                  <c:v>1.74</c:v>
                </c:pt>
                <c:pt idx="30">
                  <c:v>1.036</c:v>
                </c:pt>
                <c:pt idx="31">
                  <c:v>1.68</c:v>
                </c:pt>
                <c:pt idx="32">
                  <c:v>1.67</c:v>
                </c:pt>
                <c:pt idx="33">
                  <c:v>1.3866666666666667</c:v>
                </c:pt>
                <c:pt idx="34">
                  <c:v>1.8275000000000001</c:v>
                </c:pt>
                <c:pt idx="35">
                  <c:v>1.714</c:v>
                </c:pt>
                <c:pt idx="36">
                  <c:v>1.18</c:v>
                </c:pt>
                <c:pt idx="37">
                  <c:v>1.27</c:v>
                </c:pt>
                <c:pt idx="38">
                  <c:v>1.5200000000000002</c:v>
                </c:pt>
                <c:pt idx="39">
                  <c:v>1.82</c:v>
                </c:pt>
                <c:pt idx="40">
                  <c:v>1.6866666666666665</c:v>
                </c:pt>
                <c:pt idx="41">
                  <c:v>1.8217948717948718</c:v>
                </c:pt>
                <c:pt idx="42">
                  <c:v>2.0474999999999999</c:v>
                </c:pt>
                <c:pt idx="43">
                  <c:v>1.6312499999999999</c:v>
                </c:pt>
                <c:pt idx="44">
                  <c:v>1.71</c:v>
                </c:pt>
                <c:pt idx="45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48-48A0-8784-53EBEDFEB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8229728"/>
        <c:axId val="928232352"/>
      </c:scatterChart>
      <c:valAx>
        <c:axId val="928229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232352"/>
        <c:crosses val="autoZero"/>
        <c:crossBetween val="midCat"/>
      </c:valAx>
      <c:valAx>
        <c:axId val="92823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229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'Q1'!$H$2:$H$11</cx:f>
        <cx:lvl ptCount="10">
          <cx:pt idx="0"> Utah</cx:pt>
          <cx:pt idx="1"> California</cx:pt>
          <cx:pt idx="2"> Alaska</cx:pt>
          <cx:pt idx="3"> Montana</cx:pt>
          <cx:pt idx="4"> Colorado</cx:pt>
          <cx:pt idx="5"> Oklahoma</cx:pt>
          <cx:pt idx="6"> Texas</cx:pt>
          <cx:pt idx="7"> South Dakota</cx:pt>
          <cx:pt idx="8"> Arizona</cx:pt>
          <cx:pt idx="9"> Kansas</cx:pt>
        </cx:lvl>
      </cx:strDim>
      <cx:numDim type="val">
        <cx:f>'Q1'!$I$2:$I$11</cx:f>
        <cx:lvl ptCount="10" formatCode="0.00">
          <cx:pt idx="0">2.0474999999999999</cx:pt>
          <cx:pt idx="1">1.9606666666666663</cx:pt>
          <cx:pt idx="2">1.95</cx:pt>
          <cx:pt idx="3">1.9099999999999999</cx:pt>
          <cx:pt idx="4">1.8953846153846152</cx:pt>
          <cx:pt idx="5">1.8275000000000001</cx:pt>
          <cx:pt idx="6">1.8217948717948718</cx:pt>
          <cx:pt idx="7">1.8200000000000001</cx:pt>
          <cx:pt idx="8">1.7809999999999999</cx:pt>
          <cx:pt idx="9">1.78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tr-TR" sz="1600" b="1" i="0" u="none" strike="noStrike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Calibri" panose="020F0502020204030204"/>
              </a:rPr>
              <a:t>Top 10 states by car ownership 2016</a:t>
            </a:r>
            <a:endPara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endParaRPr>
          </a:p>
        </cx:rich>
      </cx:tx>
    </cx:title>
    <cx:plotArea>
      <cx:plotAreaRegion>
        <cx:series layoutId="clusteredColumn" uniqueId="{60D3216E-E943-45F3-9051-9ADE64D17EF3}">
          <cx:dataId val="0"/>
          <cx:layoutPr>
            <cx:aggregation/>
          </cx:layoutPr>
          <cx:axisId val="1"/>
        </cx:series>
        <cx:series layoutId="paretoLine" ownerIdx="0" uniqueId="{5BAA24DE-DAA9-48E4-9D10-54E4A1E1DD1D}">
          <cx:spPr>
            <a:effectLst>
              <a:outerShdw blurRad="50800" dist="50800" dir="5400000" sx="34000" sy="34000" algn="ctr" rotWithShape="0">
                <a:srgbClr val="000000">
                  <a:alpha val="58000"/>
                </a:srgbClr>
              </a:outerShdw>
            </a:effectLst>
          </cx:spPr>
          <cx:axisId val="2"/>
        </cx:series>
      </cx:plotAreaRegion>
      <cx:axis id="0">
        <cx:catScaling gapWidth="0"/>
        <cx:tickLabels/>
      </cx:axis>
      <cx:axis id="1">
        <cx:valScaling min="1"/>
        <cx:majorGridlines>
          <cx:spPr>
            <a:effectLst>
              <a:softEdge rad="0"/>
            </a:effectLst>
          </cx:spPr>
        </cx:majorGridlines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'Q1'!$H$38:$H$47</cx:f>
        <cx:lvl ptCount="10">
          <cx:pt idx="0"> Maryland</cx:pt>
          <cx:pt idx="1"> Hawaii</cx:pt>
          <cx:pt idx="2"> Ohio</cx:pt>
          <cx:pt idx="3"> Connecticut</cx:pt>
          <cx:pt idx="4"> Rhode Island</cx:pt>
          <cx:pt idx="5"> Pennsylvania</cx:pt>
          <cx:pt idx="6"> Massachusetts</cx:pt>
          <cx:pt idx="7"> New York</cx:pt>
          <cx:pt idx="8"> New Jersey</cx:pt>
          <cx:pt idx="9"> District of Columbia</cx:pt>
        </cx:lvl>
      </cx:strDim>
      <cx:numDim type="val">
        <cx:f>'Q1'!$I$38:$I$47</cx:f>
        <cx:lvl ptCount="10" formatCode="0.00">
          <cx:pt idx="0">1.4450000000000001</cx:pt>
          <cx:pt idx="1">1.3999999999999999</cx:pt>
          <cx:pt idx="2">1.3866666666666667</cx:pt>
          <cx:pt idx="3">1.2920000000000003</cx:pt>
          <cx:pt idx="4">1.27</cx:pt>
          <cx:pt idx="5">1.1799999999999999</cx:pt>
          <cx:pt idx="6">1.1759999999999999</cx:pt>
          <cx:pt idx="7">1.036</cx:pt>
          <cx:pt idx="8">0.97750000000000004</cx:pt>
          <cx:pt idx="9">0.85999999999999999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tr-TR" sz="1600" b="1" i="0" u="none" strike="noStrike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Calibri" panose="020F0502020204030204"/>
              </a:rPr>
              <a:t>Bottom 10 states by car ownership 2016</a:t>
            </a:r>
            <a:endPara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endParaRPr>
          </a:p>
        </cx:rich>
      </cx:tx>
    </cx:title>
    <cx:plotArea>
      <cx:plotAreaRegion>
        <cx:plotSurface>
          <cx:spPr>
            <a:ln>
              <a:solidFill>
                <a:schemeClr val="tx1"/>
              </a:solidFill>
            </a:ln>
          </cx:spPr>
        </cx:plotSurface>
        <cx:series layoutId="clusteredColumn" uniqueId="{A16FB0ED-AFB9-4250-9DE7-AFBE8A7D8017}">
          <cx:dataId val="0"/>
          <cx:layoutPr>
            <cx:aggregation/>
          </cx:layoutPr>
          <cx:axisId val="1"/>
        </cx:series>
        <cx:series layoutId="paretoLine" ownerIdx="0" uniqueId="{DAB8F50A-248F-4585-8F28-DC016138635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'Q6-5'!$B$2:$B$339</cx:f>
        <cx:lvl ptCount="338" formatCode="0.00%">
          <cx:pt idx="0">0.053999999999999999</cx:pt>
          <cx:pt idx="1">0.14499999999999999</cx:pt>
          <cx:pt idx="2">0.085000000000000006</cx:pt>
          <cx:pt idx="3">0.10100000000000001</cx:pt>
          <cx:pt idx="4">0.192</cx:pt>
          <cx:pt idx="5">0.060999999999999999</cx:pt>
          <cx:pt idx="6">0.057000000000000002</cx:pt>
          <cx:pt idx="7">0.068000000000000005</cx:pt>
          <cx:pt idx="8">0.124</cx:pt>
          <cx:pt idx="9">0.057000000000000002</cx:pt>
          <cx:pt idx="10">0.087999999999999995</cx:pt>
          <cx:pt idx="11">0.047</cx:pt>
          <cx:pt idx="12">0.13400000000000001</cx:pt>
          <cx:pt idx="13">0.036999999999999998</cx:pt>
          <cx:pt idx="14">0.112</cx:pt>
          <cx:pt idx="15">0.152</cx:pt>
          <cx:pt idx="16">0.092999999999999999</cx:pt>
          <cx:pt idx="17">0.073999999999999996</cx:pt>
          <cx:pt idx="18">0.040000000000000001</cx:pt>
          <cx:pt idx="19">0.069000000000000006</cx:pt>
          <cx:pt idx="20">0.055</cx:pt>
          <cx:pt idx="21">0.307</cx:pt>
          <cx:pt idx="22">0.104</cx:pt>
          <cx:pt idx="23">0.087999999999999995</cx:pt>
          <cx:pt idx="24">0.055</cx:pt>
          <cx:pt idx="25">0.19800000000000001</cx:pt>
          <cx:pt idx="26">0.049000000000000002</cx:pt>
          <cx:pt idx="27">0.158</cx:pt>
          <cx:pt idx="28">0.047</cx:pt>
          <cx:pt idx="29">0.35399999999999998</cx:pt>
          <cx:pt idx="30">0.081000000000000003</cx:pt>
          <cx:pt idx="31">0.036999999999999998</cx:pt>
          <cx:pt idx="32">0.221</cx:pt>
          <cx:pt idx="33">0.032000000000000001</cx:pt>
          <cx:pt idx="34">0.075999999999999998</cx:pt>
          <cx:pt idx="35">0.29999999999999999</cx:pt>
          <cx:pt idx="36">0.075999999999999998</cx:pt>
          <cx:pt idx="37">0.309</cx:pt>
          <cx:pt idx="38">0.029999999999999999</cx:pt>
          <cx:pt idx="39">0.021999999999999999</cx:pt>
          <cx:pt idx="40">0.021999999999999999</cx:pt>
          <cx:pt idx="41">0.024</cx:pt>
          <cx:pt idx="42">0.078</cx:pt>
          <cx:pt idx="43">0.025999999999999999</cx:pt>
          <cx:pt idx="44">0.042000000000000003</cx:pt>
          <cx:pt idx="45">0.082000000000000003</cx:pt>
          <cx:pt idx="46">0.073999999999999996</cx:pt>
          <cx:pt idx="47">0.11799999999999999</cx:pt>
          <cx:pt idx="48">0.044999999999999998</cx:pt>
          <cx:pt idx="49">0.26500000000000001</cx:pt>
          <cx:pt idx="50">0.049000000000000002</cx:pt>
          <cx:pt idx="51">0.193</cx:pt>
          <cx:pt idx="52">0.047</cx:pt>
          <cx:pt idx="53">0.106</cx:pt>
          <cx:pt idx="54">0.23499999999999999</cx:pt>
          <cx:pt idx="55">0.055</cx:pt>
          <cx:pt idx="56">0.047</cx:pt>
          <cx:pt idx="57">0.058000000000000003</cx:pt>
          <cx:pt idx="58">0.085999999999999993</cx:pt>
          <cx:pt idx="59">0.089999999999999997</cx:pt>
          <cx:pt idx="60">0.129</cx:pt>
          <cx:pt idx="61">0.124</cx:pt>
          <cx:pt idx="62">0.098000000000000004</cx:pt>
          <cx:pt idx="63">0.069000000000000006</cx:pt>
          <cx:pt idx="64">0.041000000000000002</cx:pt>
          <cx:pt idx="65">0.035000000000000003</cx:pt>
          <cx:pt idx="66">0.085000000000000006</cx:pt>
          <cx:pt idx="67">0.059999999999999998</cx:pt>
          <cx:pt idx="68">0.10199999999999999</cx:pt>
          <cx:pt idx="69">0.064000000000000001</cx:pt>
          <cx:pt idx="70">0.095000000000000001</cx:pt>
          <cx:pt idx="71">0.065000000000000002</cx:pt>
          <cx:pt idx="72">0.222</cx:pt>
          <cx:pt idx="73">0.049000000000000002</cx:pt>
          <cx:pt idx="74">0.096000000000000002</cx:pt>
          <cx:pt idx="75">0.085000000000000006</cx:pt>
          <cx:pt idx="76">0.253</cx:pt>
          <cx:pt idx="77">0.036999999999999998</cx:pt>
          <cx:pt idx="78">0.098000000000000004</cx:pt>
          <cx:pt idx="79">0.13</cx:pt>
          <cx:pt idx="80">0.104</cx:pt>
          <cx:pt idx="81">0.10199999999999999</cx:pt>
          <cx:pt idx="82">0.073999999999999996</cx:pt>
          <cx:pt idx="83">0.048000000000000001</cx:pt>
          <cx:pt idx="84">0.28299999999999997</cx:pt>
          <cx:pt idx="85">0.034000000000000002</cx:pt>
          <cx:pt idx="86">0.021999999999999999</cx:pt>
          <cx:pt idx="87">0.080000000000000002</cx:pt>
          <cx:pt idx="88">0.123</cx:pt>
          <cx:pt idx="89">0.11700000000000001</cx:pt>
          <cx:pt idx="90">0.13200000000000001</cx:pt>
          <cx:pt idx="91">0.048000000000000001</cx:pt>
          <cx:pt idx="92">0.070000000000000007</cx:pt>
          <cx:pt idx="93">0.088999999999999996</cx:pt>
          <cx:pt idx="94">0.031</cx:pt>
          <cx:pt idx="95">0.043999999999999997</cx:pt>
          <cx:pt idx="96">0.087999999999999995</cx:pt>
          <cx:pt idx="97">0.080000000000000002</cx:pt>
          <cx:pt idx="98">0.060999999999999999</cx:pt>
          <cx:pt idx="99">0.044999999999999998</cx:pt>
          <cx:pt idx="100">0.114</cx:pt>
          <cx:pt idx="101">0.010999999999999999</cx:pt>
          <cx:pt idx="102">0.056000000000000001</cx:pt>
          <cx:pt idx="103">0.104</cx:pt>
          <cx:pt idx="104">0.052999999999999999</cx:pt>
          <cx:pt idx="105">0.045999999999999999</cx:pt>
          <cx:pt idx="106">0.019</cx:pt>
          <cx:pt idx="107">0.084000000000000005</cx:pt>
          <cx:pt idx="108">0.11700000000000001</cx:pt>
          <cx:pt idx="109">0.037999999999999999</cx:pt>
          <cx:pt idx="110">0.125</cx:pt>
          <cx:pt idx="111">0.057000000000000002</cx:pt>
          <cx:pt idx="112">0.085999999999999993</cx:pt>
          <cx:pt idx="113">0.060999999999999999</cx:pt>
          <cx:pt idx="114">0.098000000000000004</cx:pt>
          <cx:pt idx="115">0.067000000000000004</cx:pt>
          <cx:pt idx="116">0.30299999999999999</cx:pt>
          <cx:pt idx="117">0.059999999999999998</cx:pt>
          <cx:pt idx="118">0.028000000000000001</cx:pt>
          <cx:pt idx="119">0.126</cx:pt>
          <cx:pt idx="120">0.086999999999999994</cx:pt>
          <cx:pt idx="121">0.027</cx:pt>
          <cx:pt idx="122">0.075999999999999998</cx:pt>
          <cx:pt idx="123">0.114</cx:pt>
          <cx:pt idx="124">0.16600000000000001</cx:pt>
          <cx:pt idx="125">0.083000000000000004</cx:pt>
          <cx:pt idx="126">0.025999999999999999</cx:pt>
          <cx:pt idx="127">0.066000000000000003</cx:pt>
          <cx:pt idx="128">0.074999999999999997</cx:pt>
          <cx:pt idx="129">0.105</cx:pt>
          <cx:pt idx="130">0.098000000000000004</cx:pt>
          <cx:pt idx="131">0.050000000000000003</cx:pt>
          <cx:pt idx="132">0.044999999999999998</cx:pt>
          <cx:pt idx="133">0.11</cx:pt>
          <cx:pt idx="134">0.083000000000000004</cx:pt>
          <cx:pt idx="135">0.40100000000000002</cx:pt>
          <cx:pt idx="136">0.071999999999999995</cx:pt>
          <cx:pt idx="137">0.048000000000000001</cx:pt>
          <cx:pt idx="138">0.10100000000000001</cx:pt>
          <cx:pt idx="139">0.114</cx:pt>
          <cx:pt idx="140">0.070000000000000007</cx:pt>
          <cx:pt idx="141">0.063</cx:pt>
          <cx:pt idx="142">0.097000000000000003</cx:pt>
          <cx:pt idx="143">0.106</cx:pt>
          <cx:pt idx="144">0.070000000000000007</cx:pt>
          <cx:pt idx="145">0.055</cx:pt>
          <cx:pt idx="146">0.096000000000000002</cx:pt>
          <cx:pt idx="147">0.126</cx:pt>
          <cx:pt idx="148">0.065000000000000002</cx:pt>
          <cx:pt idx="149">0.060999999999999999</cx:pt>
          <cx:pt idx="150">0.10199999999999999</cx:pt>
          <cx:pt idx="151">0.025999999999999999</cx:pt>
          <cx:pt idx="152">0.035000000000000003</cx:pt>
          <cx:pt idx="153">0.041000000000000002</cx:pt>
          <cx:pt idx="154">0.071999999999999995</cx:pt>
          <cx:pt idx="155">0.063</cx:pt>
          <cx:pt idx="156">0.082000000000000003</cx:pt>
          <cx:pt idx="157">0.104</cx:pt>
          <cx:pt idx="158">0.121</cx:pt>
          <cx:pt idx="159">0.11700000000000001</cx:pt>
          <cx:pt idx="160">0.17599999999999999</cx:pt>
          <cx:pt idx="161">0.072999999999999995</cx:pt>
          <cx:pt idx="162">0.13200000000000001</cx:pt>
          <cx:pt idx="163">0.112</cx:pt>
          <cx:pt idx="164">0.081000000000000003</cx:pt>
          <cx:pt idx="165">0.069000000000000006</cx:pt>
          <cx:pt idx="166">0.037999999999999999</cx:pt>
          <cx:pt idx="167">0.11799999999999999</cx:pt>
          <cx:pt idx="168">0.073999999999999996</cx:pt>
          <cx:pt idx="169">0.047</cx:pt>
          <cx:pt idx="170">0.063</cx:pt>
          <cx:pt idx="171">0.065000000000000002</cx:pt>
          <cx:pt idx="172">0.19900000000000001</cx:pt>
          <cx:pt idx="173">0.057000000000000002</cx:pt>
          <cx:pt idx="174">0.17899999999999999</cx:pt>
          <cx:pt idx="175">0.182</cx:pt>
          <cx:pt idx="176">0.025000000000000001</cx:pt>
          <cx:pt idx="177">0.097000000000000003</cx:pt>
          <cx:pt idx="178">0.081000000000000003</cx:pt>
          <cx:pt idx="179">0.085000000000000006</cx:pt>
          <cx:pt idx="180">0.050000000000000003</cx:pt>
          <cx:pt idx="181">0.037999999999999999</cx:pt>
          <cx:pt idx="182">0.035000000000000003</cx:pt>
          <cx:pt idx="183">0.033000000000000002</cx:pt>
          <cx:pt idx="184">0.079000000000000001</cx:pt>
          <cx:pt idx="185">0.30399999999999999</cx:pt>
          <cx:pt idx="186">0.188</cx:pt>
          <cx:pt idx="187">0.54500000000000004</cx:pt>
          <cx:pt idx="188">0.39200000000000002</cx:pt>
          <cx:pt idx="189">0.095000000000000001</cx:pt>
          <cx:pt idx="190">0.106</cx:pt>
          <cx:pt idx="191">0.070000000000000007</cx:pt>
          <cx:pt idx="192">0.127</cx:pt>
          <cx:pt idx="193">0.070000000000000007</cx:pt>
          <cx:pt idx="194">0.045999999999999999</cx:pt>
          <cx:pt idx="195">0.17299999999999999</cx:pt>
          <cx:pt idx="196">0.056000000000000001</cx:pt>
          <cx:pt idx="197">0.043999999999999997</cx:pt>
          <cx:pt idx="198">0.059999999999999998</cx:pt>
          <cx:pt idx="199">0.045999999999999999</cx:pt>
          <cx:pt idx="200">0.082000000000000003</cx:pt>
          <cx:pt idx="201">0.045999999999999999</cx:pt>
          <cx:pt idx="202">0.036999999999999998</cx:pt>
          <cx:pt idx="203">0.094</cx:pt>
          <cx:pt idx="204">0.039</cx:pt>
          <cx:pt idx="205">0.042999999999999997</cx:pt>
          <cx:pt idx="206">0.062</cx:pt>
          <cx:pt idx="207">0.081000000000000003</cx:pt>
          <cx:pt idx="208">0.152</cx:pt>
          <cx:pt idx="209">0.097000000000000003</cx:pt>
          <cx:pt idx="210">0.058000000000000003</cx:pt>
          <cx:pt idx="211">0.33600000000000002</cx:pt>
          <cx:pt idx="212">0.024</cx:pt>
          <cx:pt idx="213">0.059999999999999998</cx:pt>
          <cx:pt idx="214">0.056000000000000001</cx:pt>
          <cx:pt idx="215">0.16500000000000001</cx:pt>
          <cx:pt idx="216">0.311</cx:pt>
          <cx:pt idx="217">0.090999999999999998</cx:pt>
          <cx:pt idx="218">0.23899999999999999</cx:pt>
          <cx:pt idx="219">0.028000000000000001</cx:pt>
          <cx:pt idx="220">0.065000000000000002</cx:pt>
          <cx:pt idx="221">0.078</cx:pt>
          <cx:pt idx="222">0.035999999999999997</cx:pt>
          <cx:pt idx="223">0.14699999999999999</cx:pt>
          <cx:pt idx="224">0.217</cx:pt>
          <cx:pt idx="225">0.039</cx:pt>
          <cx:pt idx="226">0.12</cx:pt>
          <cx:pt idx="227">0.052999999999999999</cx:pt>
          <cx:pt idx="228">0.027</cx:pt>
          <cx:pt idx="229">0.10000000000000001</cx:pt>
          <cx:pt idx="230">0.055</cx:pt>
          <cx:pt idx="231">0.065000000000000002</cx:pt>
          <cx:pt idx="232">0.036999999999999998</cx:pt>
          <cx:pt idx="233">0.11700000000000001</cx:pt>
          <cx:pt idx="234">0.16400000000000001</cx:pt>
          <cx:pt idx="235">0.053999999999999999</cx:pt>
          <cx:pt idx="236">0.078</cx:pt>
          <cx:pt idx="237">0.26800000000000002</cx:pt>
          <cx:pt idx="238">0.11899999999999999</cx:pt>
          <cx:pt idx="239">0.060999999999999999</cx:pt>
          <cx:pt idx="240">0.028000000000000001</cx:pt>
          <cx:pt idx="241">0.10000000000000001</cx:pt>
          <cx:pt idx="242">0.083000000000000004</cx:pt>
          <cx:pt idx="243">0.059999999999999998</cx:pt>
          <cx:pt idx="244">0.106</cx:pt>
          <cx:pt idx="245">0.082000000000000003</cx:pt>
          <cx:pt idx="246">0.084000000000000005</cx:pt>
          <cx:pt idx="247">0.11700000000000001</cx:pt>
          <cx:pt idx="248">0.071999999999999995</cx:pt>
          <cx:pt idx="249">0.066000000000000003</cx:pt>
          <cx:pt idx="250">0.312</cx:pt>
          <cx:pt idx="251">0.055</cx:pt>
          <cx:pt idx="252">0.051999999999999998</cx:pt>
          <cx:pt idx="253">0.069000000000000006</cx:pt>
          <cx:pt idx="254">0.072999999999999995</cx:pt>
          <cx:pt idx="255">0.059999999999999998</cx:pt>
          <cx:pt idx="256">0.040000000000000001</cx:pt>
          <cx:pt idx="257">0.062</cx:pt>
          <cx:pt idx="258">0.052999999999999999</cx:pt>
          <cx:pt idx="259">0.13900000000000001</cx:pt>
          <cx:pt idx="260">0.043999999999999997</cx:pt>
          <cx:pt idx="261">0.16600000000000001</cx:pt>
          <cx:pt idx="262">0.11</cx:pt>
          <cx:pt idx="263">0.023</cx:pt>
          <cx:pt idx="264">0.066000000000000003</cx:pt>
          <cx:pt idx="265">0.125</cx:pt>
          <cx:pt idx="266">0.109</cx:pt>
          <cx:pt idx="267">0.039</cx:pt>
          <cx:pt idx="268">0.060999999999999999</cx:pt>
          <cx:pt idx="269">0.11899999999999999</cx:pt>
          <cx:pt idx="270">0.20799999999999999</cx:pt>
          <cx:pt idx="271">0.097000000000000003</cx:pt>
          <cx:pt idx="272">0.19700000000000001</cx:pt>
          <cx:pt idx="273">0.13300000000000001</cx:pt>
          <cx:pt idx="274">0.096000000000000002</cx:pt>
          <cx:pt idx="275">0.11</cx:pt>
          <cx:pt idx="276">0.050999999999999997</cx:pt>
          <cx:pt idx="277">0.105</cx:pt>
          <cx:pt idx="278">0.056000000000000001</cx:pt>
          <cx:pt idx="279">0.11</cx:pt>
          <cx:pt idx="280">0.024</cx:pt>
          <cx:pt idx="281">0.26400000000000001</cx:pt>
          <cx:pt idx="282">0.097000000000000003</cx:pt>
          <cx:pt idx="283">0.084000000000000005</cx:pt>
          <cx:pt idx="284">0.114</cx:pt>
          <cx:pt idx="285">0.01</cx:pt>
          <cx:pt idx="286">0.111</cx:pt>
          <cx:pt idx="287">0.033000000000000002</cx:pt>
          <cx:pt idx="288">0.035000000000000003</cx:pt>
          <cx:pt idx="289">0.033000000000000002</cx:pt>
          <cx:pt idx="290">0.14699999999999999</cx:pt>
          <cx:pt idx="291">0.097000000000000003</cx:pt>
          <cx:pt idx="292">0.053999999999999999</cx:pt>
          <cx:pt idx="293">0.14399999999999999</cx:pt>
          <cx:pt idx="294">0.092999999999999999</cx:pt>
          <cx:pt idx="295">0.067000000000000004</cx:pt>
          <cx:pt idx="296">0.089999999999999997</cx:pt>
          <cx:pt idx="297">0.055</cx:pt>
          <cx:pt idx="298">0.065000000000000002</cx:pt>
          <cx:pt idx="299">0.049000000000000002</cx:pt>
          <cx:pt idx="300">0.069000000000000006</cx:pt>
          <cx:pt idx="301">0.031</cx:pt>
          <cx:pt idx="302">0.086999999999999994</cx:pt>
          <cx:pt idx="303">0.078</cx:pt>
          <cx:pt idx="304">0.36199999999999999</cx:pt>
          <cx:pt idx="305">0.20399999999999999</cx:pt>
          <cx:pt idx="306">0.041000000000000002</cx:pt>
          <cx:pt idx="307">0.019</cx:pt>
          <cx:pt idx="308">0.085999999999999993</cx:pt>
          <cx:pt idx="309">0.050000000000000003</cx:pt>
          <cx:pt idx="310">0.058999999999999997</cx:pt>
          <cx:pt idx="311">0.086999999999999994</cx:pt>
          <cx:pt idx="312">0.076999999999999999</cx:pt>
          <cx:pt idx="313">0.10100000000000001</cx:pt>
          <cx:pt idx="314">0.113</cx:pt>
          <cx:pt idx="315">0.19600000000000001</cx:pt>
          <cx:pt idx="316">0.246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tr-T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2015 households without vehicles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boxWhisker" uniqueId="{113EFCFE-860B-41D6-803C-0AE8C48DCDEC}">
          <cx:tx>
            <cx:txData>
              <cx:f>'Q6-5'!$B$1</cx:f>
              <cx:v>2015 Households Without Vehicles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  <cx:numFmt formatCode="#,##0;-#,##0" sourceLinked="0"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70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15BF-5EBB-4964-A703-9CB7E792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Abdullayev</dc:creator>
  <cp:keywords/>
  <dc:description/>
  <cp:lastModifiedBy>Mustafa Abdullayev</cp:lastModifiedBy>
  <cp:revision>8</cp:revision>
  <dcterms:created xsi:type="dcterms:W3CDTF">2019-09-20T22:13:00Z</dcterms:created>
  <dcterms:modified xsi:type="dcterms:W3CDTF">2019-09-22T15:53:00Z</dcterms:modified>
</cp:coreProperties>
</file>