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80"/>
        <w:spacing w:after="0"/>
        <w:rPr>
          <w:sz w:val="20"/>
          <w:szCs w:val="20"/>
          <w:color w:val="auto"/>
        </w:rPr>
      </w:pPr>
      <w:r>
        <w:rPr>
          <w:rFonts w:ascii="Calibri" w:cs="Calibri" w:eastAsia="Calibri" w:hAnsi="Calibri"/>
          <w:sz w:val="30"/>
          <w:szCs w:val="30"/>
          <w:b w:val="1"/>
          <w:bCs w:val="1"/>
          <w:color w:val="FFFFFF"/>
        </w:rPr>
        <w:drawing>
          <wp:anchor simplePos="0" relativeHeight="251657728" behindDoc="1" locked="0" layoutInCell="0" allowOverlap="1">
            <wp:simplePos x="0" y="0"/>
            <wp:positionH relativeFrom="page">
              <wp:posOffset>2540</wp:posOffset>
            </wp:positionH>
            <wp:positionV relativeFrom="page">
              <wp:posOffset>0</wp:posOffset>
            </wp:positionV>
            <wp:extent cx="3783965" cy="3206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783965" cy="320675"/>
                    </a:xfrm>
                    <a:prstGeom prst="rect">
                      <a:avLst/>
                    </a:prstGeom>
                    <a:noFill/>
                  </pic:spPr>
                </pic:pic>
              </a:graphicData>
            </a:graphic>
          </wp:anchor>
        </w:drawing>
        <w:t>AKD RESEARCH</w:t>
      </w:r>
    </w:p>
    <w:p>
      <w:pPr>
        <w:spacing w:after="0" w:line="200" w:lineRule="exact"/>
        <w:rPr>
          <w:sz w:val="24"/>
          <w:szCs w:val="24"/>
          <w:color w:val="auto"/>
        </w:rPr>
      </w:pPr>
    </w:p>
    <w:p>
      <w:pPr>
        <w:spacing w:after="0" w:line="332" w:lineRule="exact"/>
        <w:rPr>
          <w:sz w:val="24"/>
          <w:szCs w:val="24"/>
          <w:color w:val="auto"/>
        </w:rPr>
      </w:pPr>
    </w:p>
    <w:p>
      <w:pPr>
        <w:jc w:val="right"/>
        <w:spacing w:after="0"/>
        <w:rPr>
          <w:sz w:val="20"/>
          <w:szCs w:val="20"/>
          <w:color w:val="auto"/>
        </w:rPr>
      </w:pPr>
      <w:r>
        <w:rPr>
          <w:rFonts w:ascii="Calibri" w:cs="Calibri" w:eastAsia="Calibri" w:hAnsi="Calibri"/>
          <w:sz w:val="19"/>
          <w:szCs w:val="19"/>
          <w:b w:val="1"/>
          <w:bCs w:val="1"/>
          <w:color w:val="auto"/>
        </w:rPr>
        <w:t>May 18, 2023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9525</wp:posOffset>
            </wp:positionH>
            <wp:positionV relativeFrom="paragraph">
              <wp:posOffset>59690</wp:posOffset>
            </wp:positionV>
            <wp:extent cx="1740535" cy="8331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1740535" cy="833120"/>
                    </a:xfrm>
                    <a:prstGeom prst="rect">
                      <a:avLst/>
                    </a:prstGeom>
                    <a:noFill/>
                  </pic:spPr>
                </pic:pic>
              </a:graphicData>
            </a:graphic>
          </wp:anchor>
        </w:drawing>
        <w:drawing>
          <wp:anchor simplePos="0" relativeHeight="251657728" behindDoc="1" locked="0" layoutInCell="0" allowOverlap="1">
            <wp:simplePos x="0" y="0"/>
            <wp:positionH relativeFrom="column">
              <wp:posOffset>4604385</wp:posOffset>
            </wp:positionH>
            <wp:positionV relativeFrom="paragraph">
              <wp:posOffset>165735</wp:posOffset>
            </wp:positionV>
            <wp:extent cx="2647315" cy="7759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2647315" cy="775970"/>
                    </a:xfrm>
                    <a:prstGeom prst="rect">
                      <a:avLst/>
                    </a:prstGeom>
                    <a:noFill/>
                  </pic:spPr>
                </pic:pic>
              </a:graphicData>
            </a:graphic>
          </wp:anchor>
        </w:drawing>
      </w:r>
    </w:p>
    <w:p>
      <w:pPr>
        <w:spacing w:after="0" w:line="181" w:lineRule="exact"/>
        <w:rPr>
          <w:sz w:val="24"/>
          <w:szCs w:val="24"/>
          <w:color w:val="auto"/>
        </w:rPr>
      </w:pPr>
    </w:p>
    <w:p>
      <w:pPr>
        <w:jc w:val="right"/>
        <w:spacing w:after="0" w:line="255" w:lineRule="exact"/>
        <w:rPr>
          <w:sz w:val="20"/>
          <w:szCs w:val="20"/>
          <w:color w:val="auto"/>
        </w:rPr>
      </w:pPr>
      <w:r>
        <w:rPr>
          <w:rFonts w:ascii="Arial Unicode MS" w:cs="Arial Unicode MS" w:eastAsia="Arial Unicode MS" w:hAnsi="Arial Unicode MS"/>
          <w:sz w:val="19"/>
          <w:szCs w:val="19"/>
          <w:b w:val="1"/>
          <w:bCs w:val="1"/>
          <w:color w:val="auto"/>
        </w:rPr>
        <w:t>REP-019</w:t>
      </w:r>
    </w:p>
    <w:p>
      <w:pPr>
        <w:ind w:left="420"/>
        <w:spacing w:after="0" w:line="181" w:lineRule="auto"/>
        <w:rPr>
          <w:sz w:val="20"/>
          <w:szCs w:val="20"/>
          <w:color w:val="auto"/>
        </w:rPr>
      </w:pPr>
      <w:r>
        <w:rPr>
          <w:rFonts w:ascii="Calibri" w:cs="Calibri" w:eastAsia="Calibri" w:hAnsi="Calibri"/>
          <w:sz w:val="35"/>
          <w:szCs w:val="35"/>
          <w:color w:val="FFFFFF"/>
        </w:rPr>
        <w:t>PAKISTAN</w:t>
      </w:r>
    </w:p>
    <w:p>
      <w:pPr>
        <w:ind w:left="400"/>
        <w:spacing w:after="0" w:line="184" w:lineRule="auto"/>
        <w:rPr>
          <w:sz w:val="20"/>
          <w:szCs w:val="20"/>
          <w:color w:val="auto"/>
        </w:rPr>
      </w:pPr>
      <w:r>
        <w:rPr>
          <w:rFonts w:ascii="Calibri" w:cs="Calibri" w:eastAsia="Calibri" w:hAnsi="Calibri"/>
          <w:sz w:val="25"/>
          <w:szCs w:val="25"/>
          <w:color w:val="7F7F7F"/>
        </w:rPr>
        <w:t>OIL &amp; GAS</w:t>
      </w:r>
    </w:p>
    <w:p>
      <w:pPr>
        <w:jc w:val="right"/>
        <w:spacing w:after="0" w:line="759" w:lineRule="exact"/>
        <w:rPr>
          <w:sz w:val="20"/>
          <w:szCs w:val="20"/>
          <w:color w:val="auto"/>
        </w:rPr>
      </w:pPr>
      <w:r>
        <w:rPr>
          <w:rFonts w:ascii="Arial Unicode MS" w:cs="Arial Unicode MS" w:eastAsia="Arial Unicode MS" w:hAnsi="Arial Unicode MS"/>
          <w:sz w:val="70"/>
          <w:szCs w:val="70"/>
          <w:b w:val="1"/>
          <w:bCs w:val="1"/>
          <w:color w:val="595959"/>
        </w:rPr>
        <w:t>VISTA</w:t>
      </w:r>
    </w:p>
    <w:p>
      <w:pPr>
        <w:ind w:left="20"/>
        <w:spacing w:after="0" w:line="197" w:lineRule="auto"/>
        <w:rPr>
          <w:sz w:val="20"/>
          <w:szCs w:val="20"/>
          <w:color w:val="auto"/>
        </w:rPr>
      </w:pPr>
      <w:r>
        <w:rPr>
          <w:rFonts w:ascii="Calibri" w:cs="Calibri" w:eastAsia="Calibri" w:hAnsi="Calibri"/>
          <w:sz w:val="40"/>
          <w:szCs w:val="40"/>
          <w:b w:val="1"/>
          <w:bCs w:val="1"/>
          <w:color w:val="0C2D73"/>
        </w:rPr>
        <w:t>Gas circular debt - Growing fatal</w:t>
      </w:r>
    </w:p>
    <w:p>
      <w:pPr>
        <w:sectPr>
          <w:pgSz w:w="12240" w:h="15840" w:orient="portrait"/>
          <w:cols w:equalWidth="0" w:num="1">
            <w:col w:w="10800"/>
          </w:cols>
          <w:pgMar w:left="700" w:top="58" w:right="740" w:bottom="187" w:gutter="0" w:footer="0" w:header="0"/>
        </w:sectPr>
      </w:pPr>
    </w:p>
    <w:p>
      <w:pPr>
        <w:spacing w:after="0" w:line="286" w:lineRule="exact"/>
        <w:rPr>
          <w:sz w:val="24"/>
          <w:szCs w:val="24"/>
          <w:color w:val="auto"/>
        </w:rPr>
      </w:pPr>
    </w:p>
    <w:p>
      <w:pPr>
        <w:ind w:left="360" w:right="20"/>
        <w:spacing w:after="0" w:line="228" w:lineRule="auto"/>
        <w:rPr>
          <w:sz w:val="24"/>
          <w:szCs w:val="24"/>
          <w:color w:val="auto"/>
        </w:rPr>
      </w:pPr>
      <w:r>
        <w:rPr>
          <w:rFonts w:ascii="Calibri" w:cs="Calibri" w:eastAsia="Calibri" w:hAnsi="Calibri"/>
          <w:sz w:val="18"/>
          <w:szCs w:val="18"/>
          <w:b w:val="1"/>
          <w:bCs w:val="1"/>
          <w:color w:val="0C2D73"/>
        </w:rPr>
        <w:t>Energy chain’s circular debt has deeply marred any prospects the state owned energy com-panies have had against depleting hydrocarbon reserves/growing energy needs of the country</w:t>
      </w:r>
    </w:p>
    <w:p>
      <w:pPr>
        <w:spacing w:after="0" w:line="151" w:lineRule="exact"/>
        <w:rPr>
          <w:sz w:val="24"/>
          <w:szCs w:val="24"/>
          <w:color w:val="auto"/>
        </w:rPr>
      </w:pPr>
    </w:p>
    <w:p>
      <w:pPr>
        <w:ind w:left="360"/>
        <w:spacing w:after="0" w:line="229" w:lineRule="auto"/>
        <w:rPr>
          <w:sz w:val="24"/>
          <w:szCs w:val="24"/>
          <w:color w:val="auto"/>
        </w:rPr>
      </w:pPr>
      <w:r>
        <w:rPr>
          <w:rFonts w:ascii="Calibri" w:cs="Calibri" w:eastAsia="Calibri" w:hAnsi="Calibri"/>
          <w:sz w:val="18"/>
          <w:szCs w:val="18"/>
          <w:b w:val="1"/>
          <w:bCs w:val="1"/>
          <w:color w:val="0C2D73"/>
        </w:rPr>
        <w:t>Both the Sui companies are at the frontlines of supplying 2900-3000mmcfd of gas annually to the domestic sector. Both suffer from operational inefficiencies on account of UFG losses alongside a highly regulated pricing structure set by the Govt.</w:t>
      </w:r>
    </w:p>
    <w:p>
      <w:pPr>
        <w:spacing w:after="0" w:line="151" w:lineRule="exact"/>
        <w:rPr>
          <w:sz w:val="24"/>
          <w:szCs w:val="24"/>
          <w:color w:val="auto"/>
        </w:rPr>
      </w:pPr>
    </w:p>
    <w:p>
      <w:pPr>
        <w:ind w:left="360" w:right="20"/>
        <w:spacing w:after="0" w:line="220" w:lineRule="auto"/>
        <w:rPr>
          <w:sz w:val="24"/>
          <w:szCs w:val="24"/>
          <w:color w:val="auto"/>
        </w:rPr>
      </w:pPr>
      <w:r>
        <w:rPr>
          <w:rFonts w:ascii="Calibri" w:cs="Calibri" w:eastAsia="Calibri" w:hAnsi="Calibri"/>
          <w:sz w:val="18"/>
          <w:szCs w:val="18"/>
          <w:b w:val="1"/>
          <w:bCs w:val="1"/>
          <w:color w:val="0C2D73"/>
        </w:rPr>
        <w:t>Both the state owned E&amp;P companies i.e. OGDC and PPL, leading to significant challenges in terms of operational activities and substandard dividend payouts (unlike MARI &amp; POL).</w:t>
      </w:r>
    </w:p>
    <w:p>
      <w:pPr>
        <w:spacing w:after="0" w:line="151" w:lineRule="exact"/>
        <w:rPr>
          <w:sz w:val="24"/>
          <w:szCs w:val="24"/>
          <w:color w:val="auto"/>
        </w:rPr>
      </w:pPr>
    </w:p>
    <w:p>
      <w:pPr>
        <w:ind w:left="360" w:right="20"/>
        <w:spacing w:after="0" w:line="220" w:lineRule="auto"/>
        <w:rPr>
          <w:sz w:val="24"/>
          <w:szCs w:val="24"/>
          <w:color w:val="auto"/>
        </w:rPr>
      </w:pPr>
      <w:r>
        <w:rPr>
          <w:rFonts w:ascii="Calibri" w:cs="Calibri" w:eastAsia="Calibri" w:hAnsi="Calibri"/>
          <w:sz w:val="18"/>
          <w:szCs w:val="18"/>
          <w:b w:val="1"/>
          <w:bCs w:val="1"/>
          <w:color w:val="0C2D73"/>
        </w:rPr>
        <w:t>Country’s national OMC is presently battling out working capital issues, more specifically burgeoning trade debt situation owed on account of RLNG supplies to SNGPL.</w:t>
      </w:r>
    </w:p>
    <w:p>
      <w:pPr>
        <w:spacing w:after="0" w:line="151" w:lineRule="exact"/>
        <w:rPr>
          <w:sz w:val="24"/>
          <w:szCs w:val="24"/>
          <w:color w:val="auto"/>
        </w:rPr>
      </w:pPr>
    </w:p>
    <w:p>
      <w:pPr>
        <w:ind w:left="360" w:right="20"/>
        <w:spacing w:after="0" w:line="220" w:lineRule="auto"/>
        <w:rPr>
          <w:sz w:val="24"/>
          <w:szCs w:val="24"/>
          <w:color w:val="auto"/>
        </w:rPr>
      </w:pPr>
      <w:r>
        <w:rPr>
          <w:rFonts w:ascii="Calibri" w:cs="Calibri" w:eastAsia="Calibri" w:hAnsi="Calibri"/>
          <w:sz w:val="18"/>
          <w:szCs w:val="18"/>
          <w:b w:val="1"/>
          <w:bCs w:val="1"/>
          <w:color w:val="0C2D73"/>
        </w:rPr>
        <w:t>Implementation of the circular debt relief remains the need of the hour, either through sector overhauls or a one-off payouts through the federal revenue kitty.</w:t>
      </w:r>
    </w:p>
    <w:p>
      <w:pPr>
        <w:spacing w:after="0" w:line="193" w:lineRule="exact"/>
        <w:rPr>
          <w:sz w:val="24"/>
          <w:szCs w:val="24"/>
          <w:color w:val="auto"/>
        </w:rPr>
      </w:pPr>
    </w:p>
    <w:p>
      <w:pPr>
        <w:jc w:val="both"/>
        <w:spacing w:after="0" w:line="239" w:lineRule="auto"/>
        <w:rPr>
          <w:sz w:val="20"/>
          <w:szCs w:val="20"/>
          <w:color w:val="auto"/>
        </w:rPr>
      </w:pPr>
      <w:r>
        <w:rPr>
          <w:rFonts w:ascii="Calibri" w:cs="Calibri" w:eastAsia="Calibri" w:hAnsi="Calibri"/>
          <w:sz w:val="18"/>
          <w:szCs w:val="18"/>
          <w:b w:val="1"/>
          <w:bCs w:val="1"/>
          <w:color w:val="0C2D73"/>
        </w:rPr>
        <w:t>Beat down valuations:</w:t>
      </w:r>
      <w:r>
        <w:rPr>
          <w:rFonts w:ascii="Calibri" w:cs="Calibri" w:eastAsia="Calibri" w:hAnsi="Calibri"/>
          <w:sz w:val="18"/>
          <w:szCs w:val="18"/>
          <w:color w:val="000000"/>
        </w:rPr>
        <w:t xml:space="preserve"> Energy chain’s circular debt has deeply marred any prospects the state owned energy companies have had against depleting hydrocarbon reserves/growing energy needs of the country. OGDC/PPL/PSO are the major casualties of the situation, leading the compa-nies to scale back reinvestments in projects (declining CAPEX, drilling activities etc.), undermining growth prospects and subsequent dividend cuts which in turn has led to valuation de-rating of these scrips. The gas sector circular debt, in particular, has surged over the past two years due to stagnant gas prices, increasing well-head costs, and the diversion of expensive RLNG to house-holds. Presently, the circular debt stock is around PkR1.64tn, and its burden is primarily borne by the three major fuel suppliers such as OGDCL, PPL, and PSO, with gas-based receivables on their balance sheets as of 9MFY23 amounting to PkR390bn/PkR454bn/PkR409bn, respectively.</w:t>
      </w:r>
    </w:p>
    <w:p>
      <w:pPr>
        <w:spacing w:after="0" w:line="133" w:lineRule="exact"/>
        <w:rPr>
          <w:sz w:val="24"/>
          <w:szCs w:val="24"/>
          <w:color w:val="auto"/>
        </w:rPr>
      </w:pPr>
    </w:p>
    <w:p>
      <w:pPr>
        <w:jc w:val="both"/>
        <w:spacing w:after="0" w:line="242" w:lineRule="auto"/>
        <w:rPr>
          <w:sz w:val="20"/>
          <w:szCs w:val="20"/>
          <w:color w:val="auto"/>
        </w:rPr>
      </w:pPr>
      <w:r>
        <w:rPr>
          <w:rFonts w:ascii="Calibri" w:cs="Calibri" w:eastAsia="Calibri" w:hAnsi="Calibri"/>
          <w:sz w:val="18"/>
          <w:szCs w:val="18"/>
          <w:b w:val="1"/>
          <w:bCs w:val="1"/>
          <w:color w:val="0C2D73"/>
        </w:rPr>
        <w:t>The gas utility menace:</w:t>
      </w:r>
      <w:r>
        <w:rPr>
          <w:rFonts w:ascii="Calibri" w:cs="Calibri" w:eastAsia="Calibri" w:hAnsi="Calibri"/>
          <w:sz w:val="18"/>
          <w:szCs w:val="18"/>
          <w:color w:val="000000"/>
        </w:rPr>
        <w:t xml:space="preserve"> Both the Sui companies are at the frontlines of supplying 2900-3000mmcfd of gas annually to the domestic sector. Both suffer from operational inefficiencies on account of UFG losses alongside a highly regulated pricing structure set by the Govt, resulting them in incurring significant GDS (gas development surcharges) backlogs on account of both indig-enous gas and RLNG distribution. Consumer and well-head gas prices continue to remain poles apart, with OGDCL’s well head presently averaging at ~PkR900/MMbtu vs. average consumer price ~PkR530/MMbtu (SSGC’s 2021 tariff). Furthermore, non-recognition of a separate RLNG tariff is an issue in itself, where-in the present revenue requirement calculations of the Sui compa-nies do not incorporate the liquefied gas. This is done while also diverting the imported gas com-modity to domestic consumers (usually in winters) on an as needed basis at uniform prices, re-sulting in the distribution utilities accumulating significant RLNG based subsidy receivables on their books. Overall, unless there is a clear policy directive to address these tariff disparities, the differential will continue to accumulate over time. With both the utility companies bending over backwards to work towards lowering their respective UFG losses, Govt. also needs to work to-wards a better gas price mechanism through ending cross subsidies (ex-fertilizers), ending tariff anomalies between southern and northern captive plants and an overall blended gas price struc-ture which includes RLNG costs (e.g. WACOG), in order to unlock the much needed cash flows of the E&amp;P and OMC SOEs going forward.</w:t>
      </w:r>
    </w:p>
    <w:p>
      <w:pPr>
        <w:spacing w:after="0" w:line="128" w:lineRule="exact"/>
        <w:rPr>
          <w:sz w:val="24"/>
          <w:szCs w:val="24"/>
          <w:color w:val="auto"/>
        </w:rPr>
      </w:pPr>
    </w:p>
    <w:p>
      <w:pPr>
        <w:jc w:val="both"/>
        <w:spacing w:after="0" w:line="238" w:lineRule="auto"/>
        <w:rPr>
          <w:sz w:val="20"/>
          <w:szCs w:val="20"/>
          <w:color w:val="auto"/>
        </w:rPr>
      </w:pPr>
      <w:r>
        <w:rPr>
          <w:rFonts w:ascii="Calibri" w:cs="Calibri" w:eastAsia="Calibri" w:hAnsi="Calibri"/>
          <w:sz w:val="18"/>
          <w:szCs w:val="18"/>
          <w:b w:val="1"/>
          <w:bCs w:val="1"/>
          <w:color w:val="0C2D73"/>
        </w:rPr>
        <w:t>OGDC and PPL, deep value discount amidst structural issues:</w:t>
      </w:r>
      <w:r>
        <w:rPr>
          <w:rFonts w:ascii="Calibri" w:cs="Calibri" w:eastAsia="Calibri" w:hAnsi="Calibri"/>
          <w:sz w:val="18"/>
          <w:szCs w:val="18"/>
          <w:color w:val="000000"/>
        </w:rPr>
        <w:t xml:space="preserve"> As has been widely documented, the increasing balance of circular debt has led to liquidity constraints, for both the state owned E&amp;P companies i.e. OGDC and PPL, leading to significant challenges in terms of operational activi-ties and substandard dividend payouts (unlike MARI &amp; POL). In FY22, both the companies drilled only 25 wells cumulatively (9MFY23: 7 wells) vs. long-term avg. of around 40/year. Furthermore, cash collections in recent years have been at an all-time low, as low as ~64%/49% of sales reve-nues in 9MFY23 vs. averaging between 90-100% since 2011 for OGDC and PPL, respectively. Over-all, in order to sustain production, the SOEs continue to invest in prospects such as gas compres-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-443865</wp:posOffset>
            </wp:positionH>
            <wp:positionV relativeFrom="paragraph">
              <wp:posOffset>182880</wp:posOffset>
            </wp:positionV>
            <wp:extent cx="7772400" cy="2921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7772400" cy="29210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35" w:lineRule="exact"/>
        <w:rPr>
          <w:sz w:val="24"/>
          <w:szCs w:val="24"/>
          <w:color w:val="auto"/>
        </w:rPr>
      </w:pPr>
    </w:p>
    <w:p>
      <w:pPr>
        <w:jc w:val="right"/>
        <w:ind w:left="1120"/>
        <w:spacing w:after="0" w:line="203" w:lineRule="auto"/>
        <w:rPr>
          <w:sz w:val="20"/>
          <w:szCs w:val="20"/>
          <w:color w:val="auto"/>
        </w:rPr>
      </w:pPr>
      <w:r>
        <w:rPr>
          <w:rFonts w:ascii="Calibri" w:cs="Calibri" w:eastAsia="Calibri" w:hAnsi="Calibri"/>
          <w:sz w:val="18"/>
          <w:szCs w:val="18"/>
          <w:b w:val="1"/>
          <w:bCs w:val="1"/>
          <w:color w:val="auto"/>
        </w:rPr>
        <w:t>Muhammad Ali ali.muhammad@akdsl.com 111-253-111 Ext: 637</w:t>
      </w:r>
    </w:p>
    <w:p>
      <w:pPr>
        <w:spacing w:after="0" w:line="149" w:lineRule="exact"/>
        <w:rPr>
          <w:sz w:val="24"/>
          <w:szCs w:val="24"/>
          <w:color w:val="auto"/>
        </w:rPr>
      </w:pPr>
    </w:p>
    <w:p>
      <w:pPr>
        <w:spacing w:after="0"/>
        <w:rPr>
          <w:sz w:val="20"/>
          <w:szCs w:val="20"/>
          <w:color w:val="auto"/>
        </w:rPr>
      </w:pPr>
      <w:r>
        <w:rPr>
          <w:rFonts w:ascii="Calibri" w:cs="Calibri" w:eastAsia="Calibri" w:hAnsi="Calibri"/>
          <w:sz w:val="16"/>
          <w:szCs w:val="16"/>
          <w:b w:val="1"/>
          <w:bCs w:val="1"/>
          <w:i w:val="1"/>
          <w:iCs w:val="1"/>
          <w:color w:val="0C2D73"/>
        </w:rPr>
        <w:t>SOE’s gas based receivables (PkR mn)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-13335</wp:posOffset>
                </wp:positionH>
                <wp:positionV relativeFrom="paragraph">
                  <wp:posOffset>31115</wp:posOffset>
                </wp:positionV>
                <wp:extent cx="212026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499pt,2.45pt" to="165.9pt,2.45pt" o:allowincell="f" strokecolor="#595959" strokeweight="0.25pt"/>
            </w:pict>
          </mc:Fallback>
        </mc:AlternateContent>
      </w:r>
    </w:p>
    <w:p>
      <w:pPr>
        <w:spacing w:after="0" w:line="147" w:lineRule="exact"/>
        <w:rPr>
          <w:sz w:val="24"/>
          <w:szCs w:val="24"/>
          <w:color w:val="auto"/>
        </w:rPr>
      </w:pPr>
    </w:p>
    <w:p>
      <w:pPr>
        <w:jc w:val="right"/>
        <w:ind w:right="2720"/>
        <w:spacing w:after="0"/>
        <w:rPr>
          <w:sz w:val="20"/>
          <w:szCs w:val="20"/>
          <w:color w:val="auto"/>
        </w:rPr>
      </w:pPr>
      <w:r>
        <w:rPr>
          <w:rFonts w:ascii="Arial" w:cs="Arial" w:eastAsia="Arial" w:hAnsi="Arial"/>
          <w:sz w:val="10"/>
          <w:szCs w:val="10"/>
          <w:color w:val="auto"/>
        </w:rPr>
        <w:t>1,400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408940</wp:posOffset>
            </wp:positionH>
            <wp:positionV relativeFrom="paragraph">
              <wp:posOffset>74930</wp:posOffset>
            </wp:positionV>
            <wp:extent cx="1456055" cy="9353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1456055" cy="935355"/>
                    </a:xfrm>
                    <a:prstGeom prst="rect">
                      <a:avLst/>
                    </a:prstGeom>
                    <a:noFill/>
                  </pic:spPr>
                </pic:pic>
              </a:graphicData>
            </a:graphic>
          </wp:anchor>
        </w:drawing>
      </w:r>
    </w:p>
    <w:p>
      <w:pPr>
        <w:spacing w:after="0" w:line="99" w:lineRule="exact"/>
        <w:rPr>
          <w:sz w:val="24"/>
          <w:szCs w:val="24"/>
          <w:color w:val="auto"/>
        </w:rPr>
      </w:pPr>
    </w:p>
    <w:p>
      <w:pPr>
        <w:jc w:val="right"/>
        <w:ind w:right="2720"/>
        <w:spacing w:after="0"/>
        <w:rPr>
          <w:sz w:val="20"/>
          <w:szCs w:val="20"/>
          <w:color w:val="auto"/>
        </w:rPr>
      </w:pPr>
      <w:r>
        <w:rPr>
          <w:rFonts w:ascii="Arial" w:cs="Arial" w:eastAsia="Arial" w:hAnsi="Arial"/>
          <w:sz w:val="10"/>
          <w:szCs w:val="10"/>
          <w:color w:val="auto"/>
        </w:rPr>
        <w:t>1,200</w:t>
      </w:r>
    </w:p>
    <w:p>
      <w:pPr>
        <w:spacing w:after="0" w:line="119" w:lineRule="exact"/>
        <w:rPr>
          <w:sz w:val="24"/>
          <w:szCs w:val="24"/>
          <w:color w:val="auto"/>
        </w:rPr>
      </w:pPr>
    </w:p>
    <w:p>
      <w:pPr>
        <w:jc w:val="right"/>
        <w:ind w:right="2720"/>
        <w:spacing w:after="0"/>
        <w:rPr>
          <w:sz w:val="20"/>
          <w:szCs w:val="20"/>
          <w:color w:val="auto"/>
        </w:rPr>
      </w:pPr>
      <w:r>
        <w:rPr>
          <w:rFonts w:ascii="Arial" w:cs="Arial" w:eastAsia="Arial" w:hAnsi="Arial"/>
          <w:sz w:val="10"/>
          <w:szCs w:val="10"/>
          <w:color w:val="auto"/>
        </w:rPr>
        <w:t>1,000</w:t>
      </w:r>
    </w:p>
    <w:p>
      <w:pPr>
        <w:spacing w:after="0" w:line="119" w:lineRule="exact"/>
        <w:rPr>
          <w:sz w:val="24"/>
          <w:szCs w:val="24"/>
          <w:color w:val="auto"/>
        </w:rPr>
      </w:pPr>
    </w:p>
    <w:p>
      <w:pPr>
        <w:jc w:val="right"/>
        <w:ind w:right="2720"/>
        <w:spacing w:after="0"/>
        <w:rPr>
          <w:sz w:val="20"/>
          <w:szCs w:val="20"/>
          <w:color w:val="auto"/>
        </w:rPr>
      </w:pPr>
      <w:r>
        <w:rPr>
          <w:rFonts w:ascii="Arial" w:cs="Arial" w:eastAsia="Arial" w:hAnsi="Arial"/>
          <w:sz w:val="10"/>
          <w:szCs w:val="10"/>
          <w:color w:val="auto"/>
        </w:rPr>
        <w:t>800</w:t>
      </w:r>
    </w:p>
    <w:p>
      <w:pPr>
        <w:spacing w:after="0" w:line="119" w:lineRule="exact"/>
        <w:rPr>
          <w:sz w:val="24"/>
          <w:szCs w:val="24"/>
          <w:color w:val="auto"/>
        </w:rPr>
      </w:pPr>
    </w:p>
    <w:p>
      <w:pPr>
        <w:jc w:val="right"/>
        <w:ind w:right="2720"/>
        <w:spacing w:after="0"/>
        <w:rPr>
          <w:sz w:val="20"/>
          <w:szCs w:val="20"/>
          <w:color w:val="auto"/>
        </w:rPr>
      </w:pPr>
      <w:r>
        <w:rPr>
          <w:rFonts w:ascii="Arial" w:cs="Arial" w:eastAsia="Arial" w:hAnsi="Arial"/>
          <w:sz w:val="10"/>
          <w:szCs w:val="10"/>
          <w:color w:val="auto"/>
        </w:rPr>
        <w:t>600</w:t>
      </w:r>
    </w:p>
    <w:p>
      <w:pPr>
        <w:spacing w:after="0" w:line="119" w:lineRule="exact"/>
        <w:rPr>
          <w:sz w:val="24"/>
          <w:szCs w:val="24"/>
          <w:color w:val="auto"/>
        </w:rPr>
      </w:pPr>
    </w:p>
    <w:p>
      <w:pPr>
        <w:jc w:val="right"/>
        <w:ind w:right="2720"/>
        <w:spacing w:after="0"/>
        <w:rPr>
          <w:sz w:val="20"/>
          <w:szCs w:val="20"/>
          <w:color w:val="auto"/>
        </w:rPr>
      </w:pPr>
      <w:r>
        <w:rPr>
          <w:rFonts w:ascii="Arial" w:cs="Arial" w:eastAsia="Arial" w:hAnsi="Arial"/>
          <w:sz w:val="10"/>
          <w:szCs w:val="10"/>
          <w:color w:val="auto"/>
        </w:rPr>
        <w:t>400</w:t>
      </w:r>
    </w:p>
    <w:p>
      <w:pPr>
        <w:spacing w:after="0" w:line="119" w:lineRule="exact"/>
        <w:rPr>
          <w:sz w:val="24"/>
          <w:szCs w:val="24"/>
          <w:color w:val="auto"/>
        </w:rPr>
      </w:pPr>
    </w:p>
    <w:p>
      <w:pPr>
        <w:jc w:val="right"/>
        <w:ind w:right="2720"/>
        <w:spacing w:after="0"/>
        <w:rPr>
          <w:sz w:val="20"/>
          <w:szCs w:val="20"/>
          <w:color w:val="auto"/>
        </w:rPr>
      </w:pPr>
      <w:r>
        <w:rPr>
          <w:rFonts w:ascii="Arial" w:cs="Arial" w:eastAsia="Arial" w:hAnsi="Arial"/>
          <w:sz w:val="10"/>
          <w:szCs w:val="10"/>
          <w:color w:val="auto"/>
        </w:rPr>
        <w:t>200</w:t>
      </w:r>
    </w:p>
    <w:p>
      <w:pPr>
        <w:spacing w:after="0" w:line="119" w:lineRule="exact"/>
        <w:rPr>
          <w:sz w:val="24"/>
          <w:szCs w:val="24"/>
          <w:color w:val="auto"/>
        </w:rPr>
      </w:pPr>
    </w:p>
    <w:p>
      <w:pPr>
        <w:jc w:val="right"/>
        <w:ind w:right="2720"/>
        <w:spacing w:after="0"/>
        <w:rPr>
          <w:sz w:val="20"/>
          <w:szCs w:val="20"/>
          <w:color w:val="auto"/>
        </w:rPr>
      </w:pPr>
      <w:r>
        <w:rPr>
          <w:rFonts w:ascii="Arial" w:cs="Arial" w:eastAsia="Arial" w:hAnsi="Arial"/>
          <w:sz w:val="10"/>
          <w:szCs w:val="10"/>
          <w:color w:val="auto"/>
        </w:rPr>
        <w:t>0</w:t>
      </w:r>
    </w:p>
    <w:p>
      <w:pPr>
        <w:spacing w:after="0" w:line="2" w:lineRule="exact"/>
        <w:rPr>
          <w:sz w:val="24"/>
          <w:szCs w:val="24"/>
          <w:color w:val="auto"/>
        </w:rPr>
      </w:pPr>
    </w:p>
    <w:tbl>
      <w:tblPr>
        <w:tblLayout w:type="fixed"/>
        <w:tblInd w:w="760" w:type="dxa"/>
        <w:tblCellMar>
          <w:top w:w="0" w:type="dxa"/>
          <w:left w:w="0" w:type="dxa"/>
          <w:bottom w:w="0" w:type="dxa"/>
          <w:right w:w="0" w:type="dxa"/>
        </w:tblCellMar>
      </w:tblPr>
      <w:tr>
        <w:trPr>
          <w:trHeight w:val="382"/>
        </w:trPr>
        <w:tc>
          <w:tcPr>
            <w:tcW w:w="200" w:type="dxa"/>
            <w:vAlign w:val="bottom"/>
            <w:textDirection w:val="btLr"/>
          </w:tcPr>
          <w:p>
            <w:pPr>
              <w:spacing w:after="0"/>
              <w:rPr>
                <w:sz w:val="20"/>
                <w:szCs w:val="20"/>
                <w:color w:val="auto"/>
              </w:rPr>
            </w:pPr>
            <w:r>
              <w:rPr>
                <w:rFonts w:ascii="Arial" w:cs="Arial" w:eastAsia="Arial" w:hAnsi="Arial"/>
                <w:sz w:val="10"/>
                <w:szCs w:val="10"/>
                <w:color w:val="auto"/>
              </w:rPr>
              <w:t>FY17</w:t>
            </w:r>
          </w:p>
        </w:tc>
        <w:tc>
          <w:tcPr>
            <w:tcW w:w="220" w:type="dxa"/>
            <w:vAlign w:val="bottom"/>
            <w:textDirection w:val="btLr"/>
          </w:tcPr>
          <w:p>
            <w:pPr>
              <w:ind w:left="120"/>
              <w:spacing w:after="0" w:line="209" w:lineRule="auto"/>
              <w:rPr>
                <w:sz w:val="20"/>
                <w:szCs w:val="20"/>
                <w:color w:val="auto"/>
              </w:rPr>
            </w:pPr>
            <w:r>
              <w:rPr>
                <w:rFonts w:ascii="Arial" w:cs="Arial" w:eastAsia="Arial" w:hAnsi="Arial"/>
                <w:sz w:val="10"/>
                <w:szCs w:val="10"/>
                <w:color w:val="auto"/>
              </w:rPr>
              <w:t>FY18</w:t>
            </w:r>
          </w:p>
        </w:tc>
        <w:tc>
          <w:tcPr>
            <w:tcW w:w="400" w:type="dxa"/>
            <w:vAlign w:val="bottom"/>
            <w:textDirection w:val="btLr"/>
          </w:tcPr>
          <w:p>
            <w:pPr>
              <w:ind w:left="230"/>
              <w:spacing w:after="0" w:line="225" w:lineRule="auto"/>
              <w:rPr>
                <w:sz w:val="20"/>
                <w:szCs w:val="20"/>
                <w:color w:val="auto"/>
              </w:rPr>
            </w:pPr>
            <w:r>
              <w:rPr>
                <w:rFonts w:ascii="Arial" w:cs="Arial" w:eastAsia="Arial" w:hAnsi="Arial"/>
                <w:sz w:val="10"/>
                <w:szCs w:val="10"/>
                <w:color w:val="auto"/>
              </w:rPr>
              <w:t>FY19</w:t>
            </w:r>
          </w:p>
        </w:tc>
        <w:tc>
          <w:tcPr>
            <w:tcW w:w="360" w:type="dxa"/>
            <w:vAlign w:val="bottom"/>
            <w:textDirection w:val="btLr"/>
          </w:tcPr>
          <w:p>
            <w:pPr>
              <w:ind w:right="45"/>
              <w:spacing w:after="0" w:line="225" w:lineRule="auto"/>
              <w:rPr>
                <w:sz w:val="20"/>
                <w:szCs w:val="20"/>
                <w:color w:val="auto"/>
              </w:rPr>
            </w:pPr>
            <w:r>
              <w:rPr>
                <w:rFonts w:ascii="Arial" w:cs="Arial" w:eastAsia="Arial" w:hAnsi="Arial"/>
                <w:sz w:val="10"/>
                <w:szCs w:val="10"/>
                <w:color w:val="auto"/>
              </w:rPr>
              <w:t>FY20</w:t>
            </w:r>
          </w:p>
        </w:tc>
        <w:tc>
          <w:tcPr>
            <w:tcW w:w="380" w:type="dxa"/>
            <w:vAlign w:val="bottom"/>
            <w:textDirection w:val="btLr"/>
          </w:tcPr>
          <w:p>
            <w:pPr>
              <w:spacing w:after="0" w:line="225" w:lineRule="auto"/>
              <w:rPr>
                <w:sz w:val="20"/>
                <w:szCs w:val="20"/>
                <w:color w:val="auto"/>
              </w:rPr>
            </w:pPr>
            <w:r>
              <w:rPr>
                <w:rFonts w:ascii="Arial" w:cs="Arial" w:eastAsia="Arial" w:hAnsi="Arial"/>
                <w:sz w:val="10"/>
                <w:szCs w:val="10"/>
                <w:color w:val="auto"/>
              </w:rPr>
              <w:t>FY21</w:t>
            </w:r>
          </w:p>
        </w:tc>
        <w:tc>
          <w:tcPr>
            <w:tcW w:w="280" w:type="dxa"/>
            <w:vAlign w:val="bottom"/>
            <w:textDirection w:val="btLr"/>
          </w:tcPr>
          <w:p>
            <w:pPr>
              <w:ind w:left="72"/>
              <w:spacing w:after="0" w:line="226" w:lineRule="auto"/>
              <w:rPr>
                <w:sz w:val="20"/>
                <w:szCs w:val="20"/>
                <w:color w:val="auto"/>
              </w:rPr>
            </w:pPr>
            <w:r>
              <w:rPr>
                <w:rFonts w:ascii="Arial" w:cs="Arial" w:eastAsia="Arial" w:hAnsi="Arial"/>
                <w:sz w:val="10"/>
                <w:szCs w:val="10"/>
                <w:color w:val="auto"/>
              </w:rPr>
              <w:t>FY22</w:t>
            </w:r>
          </w:p>
        </w:tc>
        <w:tc>
          <w:tcPr>
            <w:tcW w:w="220" w:type="dxa"/>
            <w:vAlign w:val="bottom"/>
            <w:textDirection w:val="btLr"/>
          </w:tcPr>
          <w:p>
            <w:pPr>
              <w:ind w:left="120"/>
              <w:spacing w:after="0" w:line="185" w:lineRule="auto"/>
              <w:rPr>
                <w:sz w:val="20"/>
                <w:szCs w:val="20"/>
                <w:color w:val="auto"/>
              </w:rPr>
            </w:pPr>
            <w:r>
              <w:rPr>
                <w:rFonts w:ascii="Arial" w:cs="Arial" w:eastAsia="Arial" w:hAnsi="Arial"/>
                <w:sz w:val="9"/>
                <w:szCs w:val="9"/>
                <w:color w:val="auto"/>
              </w:rPr>
              <w:t>9MFY23</w:t>
            </w:r>
          </w:p>
        </w:tc>
      </w:tr>
      <w:tr>
        <w:trPr>
          <w:trHeight w:val="179"/>
        </w:trPr>
        <w:tc>
          <w:tcPr>
            <w:tcW w:w="200" w:type="dxa"/>
            <w:vAlign w:val="bottom"/>
          </w:tcPr>
          <w:p>
            <w:pPr>
              <w:spacing w:after="0"/>
              <w:rPr>
                <w:sz w:val="15"/>
                <w:szCs w:val="15"/>
                <w:color w:val="auto"/>
              </w:rPr>
            </w:pPr>
          </w:p>
        </w:tc>
        <w:tc>
          <w:tcPr>
            <w:tcW w:w="220" w:type="dxa"/>
            <w:vAlign w:val="bottom"/>
          </w:tcPr>
          <w:p>
            <w:pPr>
              <w:spacing w:after="0"/>
              <w:rPr>
                <w:sz w:val="15"/>
                <w:szCs w:val="15"/>
                <w:color w:val="auto"/>
              </w:rPr>
            </w:pPr>
          </w:p>
        </w:tc>
        <w:tc>
          <w:tcPr>
            <w:tcW w:w="400" w:type="dxa"/>
            <w:vAlign w:val="bottom"/>
          </w:tcPr>
          <w:p>
            <w:pPr>
              <w:spacing w:after="0"/>
              <w:rPr>
                <w:sz w:val="20"/>
                <w:szCs w:val="20"/>
                <w:color w:val="auto"/>
              </w:rPr>
            </w:pPr>
            <w:r>
              <w:rPr>
                <w:rFonts w:ascii="Arial" w:cs="Arial" w:eastAsia="Arial" w:hAnsi="Arial"/>
                <w:sz w:val="10"/>
                <w:szCs w:val="10"/>
                <w:color w:val="auto"/>
              </w:rPr>
              <w:t>OGDC</w:t>
            </w:r>
          </w:p>
        </w:tc>
        <w:tc>
          <w:tcPr>
            <w:tcW w:w="360" w:type="dxa"/>
            <w:vAlign w:val="bottom"/>
          </w:tcPr>
          <w:p>
            <w:pPr>
              <w:jc w:val="right"/>
              <w:ind w:right="51"/>
              <w:spacing w:after="0"/>
              <w:rPr>
                <w:sz w:val="20"/>
                <w:szCs w:val="20"/>
                <w:color w:val="auto"/>
              </w:rPr>
            </w:pPr>
            <w:r>
              <w:rPr>
                <w:rFonts w:ascii="Arial" w:cs="Arial" w:eastAsia="Arial" w:hAnsi="Arial"/>
                <w:sz w:val="10"/>
                <w:szCs w:val="10"/>
                <w:color w:val="auto"/>
              </w:rPr>
              <w:t>PPL</w:t>
            </w:r>
          </w:p>
        </w:tc>
        <w:tc>
          <w:tcPr>
            <w:tcW w:w="380" w:type="dxa"/>
            <w:vAlign w:val="bottom"/>
          </w:tcPr>
          <w:p>
            <w:pPr>
              <w:jc w:val="center"/>
              <w:spacing w:after="0"/>
              <w:rPr>
                <w:sz w:val="20"/>
                <w:szCs w:val="20"/>
                <w:color w:val="auto"/>
              </w:rPr>
            </w:pPr>
            <w:r>
              <w:rPr>
                <w:rFonts w:ascii="Arial" w:cs="Arial" w:eastAsia="Arial" w:hAnsi="Arial"/>
                <w:sz w:val="10"/>
                <w:szCs w:val="10"/>
                <w:color w:val="auto"/>
                <w:w w:val="94"/>
              </w:rPr>
              <w:t>PSO</w:t>
            </w:r>
          </w:p>
        </w:tc>
        <w:tc>
          <w:tcPr>
            <w:tcW w:w="280" w:type="dxa"/>
            <w:vAlign w:val="bottom"/>
          </w:tcPr>
          <w:p>
            <w:pPr>
              <w:spacing w:after="0"/>
              <w:rPr>
                <w:sz w:val="15"/>
                <w:szCs w:val="15"/>
                <w:color w:val="auto"/>
              </w:rPr>
            </w:pPr>
          </w:p>
        </w:tc>
        <w:tc>
          <w:tcPr>
            <w:tcW w:w="220" w:type="dxa"/>
            <w:vAlign w:val="bottom"/>
          </w:tcPr>
          <w:p>
            <w:pPr>
              <w:spacing w:after="0"/>
              <w:rPr>
                <w:sz w:val="15"/>
                <w:szCs w:val="15"/>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-7620</wp:posOffset>
                </wp:positionH>
                <wp:positionV relativeFrom="paragraph">
                  <wp:posOffset>128270</wp:posOffset>
                </wp:positionV>
                <wp:extent cx="212026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999pt,10.1pt" to="166.35pt,10.1pt" o:allowincell="f" strokecolor="#595959" strokeweight="0.25pt"/>
            </w:pict>
          </mc:Fallback>
        </mc:AlternateContent>
      </w:r>
    </w:p>
    <w:p>
      <w:pPr>
        <w:spacing w:after="0" w:line="226" w:lineRule="exact"/>
        <w:rPr>
          <w:sz w:val="24"/>
          <w:szCs w:val="24"/>
          <w:color w:val="auto"/>
        </w:rPr>
      </w:pPr>
    </w:p>
    <w:p>
      <w:pPr>
        <w:ind w:left="1500"/>
        <w:spacing w:after="0"/>
        <w:rPr>
          <w:sz w:val="20"/>
          <w:szCs w:val="20"/>
          <w:color w:val="auto"/>
        </w:rPr>
      </w:pPr>
      <w:r>
        <w:rPr>
          <w:rFonts w:ascii="Calibri" w:cs="Calibri" w:eastAsia="Calibri" w:hAnsi="Calibri"/>
          <w:sz w:val="14"/>
          <w:szCs w:val="14"/>
          <w:color w:val="auto"/>
        </w:rPr>
        <w:t>Source: OCAC &amp; AKD Research</w:t>
      </w:r>
    </w:p>
    <w:p>
      <w:pPr>
        <w:spacing w:after="0" w:line="147" w:lineRule="exact"/>
        <w:rPr>
          <w:sz w:val="24"/>
          <w:szCs w:val="24"/>
          <w:color w:val="auto"/>
        </w:rPr>
      </w:pPr>
    </w:p>
    <w:p>
      <w:pPr>
        <w:spacing w:after="0"/>
        <w:rPr>
          <w:sz w:val="20"/>
          <w:szCs w:val="20"/>
          <w:color w:val="auto"/>
        </w:rPr>
      </w:pPr>
      <w:r>
        <w:rPr>
          <w:rFonts w:ascii="Calibri" w:cs="Calibri" w:eastAsia="Calibri" w:hAnsi="Calibri"/>
          <w:sz w:val="16"/>
          <w:szCs w:val="16"/>
          <w:b w:val="1"/>
          <w:bCs w:val="1"/>
          <w:i w:val="1"/>
          <w:iCs w:val="1"/>
          <w:color w:val="0C2D73"/>
        </w:rPr>
        <w:t>OGDC</w:t>
      </w:r>
      <w:r>
        <w:rPr>
          <w:rFonts w:ascii="Calibri" w:cs="Calibri" w:eastAsia="Calibri" w:hAnsi="Calibri"/>
          <w:sz w:val="16"/>
          <w:szCs w:val="16"/>
          <w:b w:val="1"/>
          <w:bCs w:val="1"/>
          <w:color w:val="0C2D73"/>
        </w:rPr>
        <w:t xml:space="preserve"> | </w:t>
      </w:r>
      <w:r>
        <w:rPr>
          <w:rFonts w:ascii="Calibri" w:cs="Calibri" w:eastAsia="Calibri" w:hAnsi="Calibri"/>
          <w:sz w:val="16"/>
          <w:szCs w:val="16"/>
          <w:b w:val="1"/>
          <w:bCs w:val="1"/>
          <w:i w:val="1"/>
          <w:iCs w:val="1"/>
          <w:color w:val="0C2D73"/>
        </w:rPr>
        <w:t>PPL - Wells drilled vs. Cash sales (%)</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-10160</wp:posOffset>
                </wp:positionH>
                <wp:positionV relativeFrom="paragraph">
                  <wp:posOffset>36195</wp:posOffset>
                </wp:positionV>
                <wp:extent cx="21209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900"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999pt,2.85pt" to="166.2pt,2.85pt" o:allowincell="f" strokecolor="#595959" strokeweight="0.25pt"/>
            </w:pict>
          </mc:Fallback>
        </mc:AlternateContent>
      </w:r>
    </w:p>
    <w:p>
      <w:pPr>
        <w:spacing w:after="0" w:line="153" w:lineRule="exact"/>
        <w:rPr>
          <w:sz w:val="24"/>
          <w:szCs w:val="24"/>
          <w:color w:val="auto"/>
        </w:rPr>
      </w:pPr>
    </w:p>
    <w:tbl>
      <w:tblPr>
        <w:tblLayout w:type="fixed"/>
        <w:tblInd w:w="360" w:type="dxa"/>
        <w:tblCellMar>
          <w:top w:w="0" w:type="dxa"/>
          <w:left w:w="0" w:type="dxa"/>
          <w:bottom w:w="0" w:type="dxa"/>
          <w:right w:w="0" w:type="dxa"/>
        </w:tblCellMar>
      </w:tblPr>
      <w:tr>
        <w:trPr>
          <w:trHeight w:val="103"/>
        </w:trPr>
        <w:tc>
          <w:tcPr>
            <w:tcW w:w="420" w:type="dxa"/>
            <w:vAlign w:val="bottom"/>
          </w:tcPr>
          <w:p>
            <w:pPr>
              <w:jc w:val="right"/>
              <w:ind w:right="277"/>
              <w:spacing w:after="0"/>
              <w:rPr>
                <w:sz w:val="20"/>
                <w:szCs w:val="20"/>
                <w:color w:val="auto"/>
              </w:rPr>
            </w:pPr>
            <w:r>
              <w:rPr>
                <w:rFonts w:ascii="Arial" w:cs="Arial" w:eastAsia="Arial" w:hAnsi="Arial"/>
                <w:sz w:val="9"/>
                <w:szCs w:val="9"/>
                <w:color w:val="auto"/>
                <w:w w:val="79"/>
              </w:rPr>
              <w:t>35</w:t>
            </w:r>
          </w:p>
        </w:tc>
        <w:tc>
          <w:tcPr>
            <w:tcW w:w="220" w:type="dxa"/>
            <w:vAlign w:val="bottom"/>
          </w:tcPr>
          <w:p>
            <w:pPr>
              <w:spacing w:after="0"/>
              <w:rPr>
                <w:sz w:val="8"/>
                <w:szCs w:val="8"/>
                <w:color w:val="auto"/>
              </w:rPr>
            </w:pPr>
          </w:p>
        </w:tc>
        <w:tc>
          <w:tcPr>
            <w:tcW w:w="260" w:type="dxa"/>
            <w:vAlign w:val="bottom"/>
          </w:tcPr>
          <w:p>
            <w:pPr>
              <w:spacing w:after="0"/>
              <w:rPr>
                <w:sz w:val="8"/>
                <w:szCs w:val="8"/>
                <w:color w:val="auto"/>
              </w:rPr>
            </w:pPr>
          </w:p>
        </w:tc>
        <w:tc>
          <w:tcPr>
            <w:tcW w:w="22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280" w:type="dxa"/>
            <w:vAlign w:val="bottom"/>
          </w:tcPr>
          <w:p>
            <w:pPr>
              <w:spacing w:after="0"/>
              <w:rPr>
                <w:sz w:val="8"/>
                <w:szCs w:val="8"/>
                <w:color w:val="auto"/>
              </w:rPr>
            </w:pPr>
          </w:p>
        </w:tc>
        <w:tc>
          <w:tcPr>
            <w:tcW w:w="320" w:type="dxa"/>
            <w:vAlign w:val="bottom"/>
          </w:tcPr>
          <w:p>
            <w:pPr>
              <w:spacing w:after="0"/>
              <w:rPr>
                <w:sz w:val="8"/>
                <w:szCs w:val="8"/>
                <w:color w:val="auto"/>
              </w:rPr>
            </w:pPr>
          </w:p>
        </w:tc>
        <w:tc>
          <w:tcPr>
            <w:tcW w:w="500" w:type="dxa"/>
            <w:vAlign w:val="bottom"/>
          </w:tcPr>
          <w:p>
            <w:pPr>
              <w:ind w:left="240"/>
              <w:spacing w:after="0"/>
              <w:rPr>
                <w:sz w:val="20"/>
                <w:szCs w:val="20"/>
                <w:color w:val="auto"/>
              </w:rPr>
            </w:pPr>
            <w:r>
              <w:rPr>
                <w:rFonts w:ascii="Arial" w:cs="Arial" w:eastAsia="Arial" w:hAnsi="Arial"/>
                <w:sz w:val="9"/>
                <w:szCs w:val="9"/>
                <w:color w:val="auto"/>
                <w:w w:val="95"/>
              </w:rPr>
              <w:t>140%</w:t>
            </w:r>
          </w:p>
        </w:tc>
      </w:tr>
      <w:tr>
        <w:trPr>
          <w:trHeight w:val="217"/>
        </w:trPr>
        <w:tc>
          <w:tcPr>
            <w:tcW w:w="420" w:type="dxa"/>
            <w:vAlign w:val="bottom"/>
          </w:tcPr>
          <w:p>
            <w:pPr>
              <w:jc w:val="right"/>
              <w:ind w:right="277"/>
              <w:spacing w:after="0"/>
              <w:rPr>
                <w:sz w:val="20"/>
                <w:szCs w:val="20"/>
                <w:color w:val="auto"/>
              </w:rPr>
            </w:pPr>
            <w:r>
              <w:rPr>
                <w:rFonts w:ascii="Arial" w:cs="Arial" w:eastAsia="Arial" w:hAnsi="Arial"/>
                <w:sz w:val="9"/>
                <w:szCs w:val="9"/>
                <w:color w:val="auto"/>
                <w:w w:val="79"/>
              </w:rPr>
              <w:t>30</w:t>
            </w:r>
          </w:p>
        </w:tc>
        <w:tc>
          <w:tcPr>
            <w:tcW w:w="2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00" w:type="dxa"/>
            <w:vAlign w:val="bottom"/>
          </w:tcPr>
          <w:p>
            <w:pPr>
              <w:ind w:left="240"/>
              <w:spacing w:after="0"/>
              <w:rPr>
                <w:sz w:val="20"/>
                <w:szCs w:val="20"/>
                <w:color w:val="auto"/>
              </w:rPr>
            </w:pPr>
            <w:r>
              <w:rPr>
                <w:rFonts w:ascii="Arial" w:cs="Arial" w:eastAsia="Arial" w:hAnsi="Arial"/>
                <w:sz w:val="9"/>
                <w:szCs w:val="9"/>
                <w:color w:val="auto"/>
                <w:w w:val="95"/>
              </w:rPr>
              <w:t>120%</w:t>
            </w:r>
          </w:p>
        </w:tc>
      </w:tr>
      <w:tr>
        <w:trPr>
          <w:trHeight w:val="217"/>
        </w:trPr>
        <w:tc>
          <w:tcPr>
            <w:tcW w:w="420" w:type="dxa"/>
            <w:vAlign w:val="bottom"/>
          </w:tcPr>
          <w:p>
            <w:pPr>
              <w:jc w:val="right"/>
              <w:ind w:right="277"/>
              <w:spacing w:after="0"/>
              <w:rPr>
                <w:sz w:val="20"/>
                <w:szCs w:val="20"/>
                <w:color w:val="auto"/>
              </w:rPr>
            </w:pPr>
            <w:r>
              <w:rPr>
                <w:rFonts w:ascii="Arial" w:cs="Arial" w:eastAsia="Arial" w:hAnsi="Arial"/>
                <w:sz w:val="9"/>
                <w:szCs w:val="9"/>
                <w:color w:val="auto"/>
                <w:w w:val="79"/>
              </w:rPr>
              <w:t>25</w:t>
            </w:r>
          </w:p>
        </w:tc>
        <w:tc>
          <w:tcPr>
            <w:tcW w:w="2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00" w:type="dxa"/>
            <w:vAlign w:val="bottom"/>
          </w:tcPr>
          <w:p>
            <w:pPr>
              <w:ind w:left="240"/>
              <w:spacing w:after="0"/>
              <w:rPr>
                <w:sz w:val="20"/>
                <w:szCs w:val="20"/>
                <w:color w:val="auto"/>
              </w:rPr>
            </w:pPr>
            <w:r>
              <w:rPr>
                <w:rFonts w:ascii="Arial" w:cs="Arial" w:eastAsia="Arial" w:hAnsi="Arial"/>
                <w:sz w:val="9"/>
                <w:szCs w:val="9"/>
                <w:color w:val="auto"/>
                <w:w w:val="95"/>
              </w:rPr>
              <w:t>100%</w:t>
            </w:r>
          </w:p>
        </w:tc>
      </w:tr>
      <w:tr>
        <w:trPr>
          <w:trHeight w:val="217"/>
        </w:trPr>
        <w:tc>
          <w:tcPr>
            <w:tcW w:w="420" w:type="dxa"/>
            <w:vAlign w:val="bottom"/>
          </w:tcPr>
          <w:p>
            <w:pPr>
              <w:jc w:val="right"/>
              <w:ind w:right="277"/>
              <w:spacing w:after="0"/>
              <w:rPr>
                <w:sz w:val="20"/>
                <w:szCs w:val="20"/>
                <w:color w:val="auto"/>
              </w:rPr>
            </w:pPr>
            <w:r>
              <w:rPr>
                <w:rFonts w:ascii="Arial" w:cs="Arial" w:eastAsia="Arial" w:hAnsi="Arial"/>
                <w:sz w:val="9"/>
                <w:szCs w:val="9"/>
                <w:color w:val="auto"/>
                <w:w w:val="79"/>
              </w:rPr>
              <w:t>20</w:t>
            </w:r>
          </w:p>
        </w:tc>
        <w:tc>
          <w:tcPr>
            <w:tcW w:w="2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00" w:type="dxa"/>
            <w:vAlign w:val="bottom"/>
          </w:tcPr>
          <w:p>
            <w:pPr>
              <w:ind w:left="240"/>
              <w:spacing w:after="0"/>
              <w:rPr>
                <w:sz w:val="20"/>
                <w:szCs w:val="20"/>
                <w:color w:val="auto"/>
              </w:rPr>
            </w:pPr>
            <w:r>
              <w:rPr>
                <w:rFonts w:ascii="Arial" w:cs="Arial" w:eastAsia="Arial" w:hAnsi="Arial"/>
                <w:sz w:val="9"/>
                <w:szCs w:val="9"/>
                <w:color w:val="auto"/>
              </w:rPr>
              <w:t>80%</w:t>
            </w:r>
          </w:p>
        </w:tc>
      </w:tr>
      <w:tr>
        <w:trPr>
          <w:trHeight w:val="217"/>
        </w:trPr>
        <w:tc>
          <w:tcPr>
            <w:tcW w:w="420" w:type="dxa"/>
            <w:vAlign w:val="bottom"/>
          </w:tcPr>
          <w:p>
            <w:pPr>
              <w:jc w:val="right"/>
              <w:ind w:right="277"/>
              <w:spacing w:after="0"/>
              <w:rPr>
                <w:sz w:val="20"/>
                <w:szCs w:val="20"/>
                <w:color w:val="auto"/>
              </w:rPr>
            </w:pPr>
            <w:r>
              <w:rPr>
                <w:rFonts w:ascii="Arial" w:cs="Arial" w:eastAsia="Arial" w:hAnsi="Arial"/>
                <w:sz w:val="9"/>
                <w:szCs w:val="9"/>
                <w:color w:val="auto"/>
                <w:w w:val="79"/>
              </w:rPr>
              <w:t>15</w:t>
            </w:r>
          </w:p>
        </w:tc>
        <w:tc>
          <w:tcPr>
            <w:tcW w:w="2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00" w:type="dxa"/>
            <w:vAlign w:val="bottom"/>
          </w:tcPr>
          <w:p>
            <w:pPr>
              <w:ind w:left="240"/>
              <w:spacing w:after="0"/>
              <w:rPr>
                <w:sz w:val="20"/>
                <w:szCs w:val="20"/>
                <w:color w:val="auto"/>
              </w:rPr>
            </w:pPr>
            <w:r>
              <w:rPr>
                <w:rFonts w:ascii="Arial" w:cs="Arial" w:eastAsia="Arial" w:hAnsi="Arial"/>
                <w:sz w:val="9"/>
                <w:szCs w:val="9"/>
                <w:color w:val="auto"/>
              </w:rPr>
              <w:t>60%</w:t>
            </w:r>
          </w:p>
        </w:tc>
      </w:tr>
      <w:tr>
        <w:trPr>
          <w:trHeight w:val="217"/>
        </w:trPr>
        <w:tc>
          <w:tcPr>
            <w:tcW w:w="420" w:type="dxa"/>
            <w:vAlign w:val="bottom"/>
          </w:tcPr>
          <w:p>
            <w:pPr>
              <w:jc w:val="right"/>
              <w:ind w:right="277"/>
              <w:spacing w:after="0"/>
              <w:rPr>
                <w:sz w:val="20"/>
                <w:szCs w:val="20"/>
                <w:color w:val="auto"/>
              </w:rPr>
            </w:pPr>
            <w:r>
              <w:rPr>
                <w:rFonts w:ascii="Arial" w:cs="Arial" w:eastAsia="Arial" w:hAnsi="Arial"/>
                <w:sz w:val="9"/>
                <w:szCs w:val="9"/>
                <w:color w:val="auto"/>
                <w:w w:val="79"/>
              </w:rPr>
              <w:t>10</w:t>
            </w:r>
          </w:p>
        </w:tc>
        <w:tc>
          <w:tcPr>
            <w:tcW w:w="2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00" w:type="dxa"/>
            <w:vAlign w:val="bottom"/>
          </w:tcPr>
          <w:p>
            <w:pPr>
              <w:ind w:left="240"/>
              <w:spacing w:after="0"/>
              <w:rPr>
                <w:sz w:val="20"/>
                <w:szCs w:val="20"/>
                <w:color w:val="auto"/>
              </w:rPr>
            </w:pPr>
            <w:r>
              <w:rPr>
                <w:rFonts w:ascii="Arial" w:cs="Arial" w:eastAsia="Arial" w:hAnsi="Arial"/>
                <w:sz w:val="9"/>
                <w:szCs w:val="9"/>
                <w:color w:val="auto"/>
              </w:rPr>
              <w:t>40%</w:t>
            </w:r>
          </w:p>
        </w:tc>
      </w:tr>
      <w:tr>
        <w:trPr>
          <w:trHeight w:val="217"/>
        </w:trPr>
        <w:tc>
          <w:tcPr>
            <w:tcW w:w="420" w:type="dxa"/>
            <w:vAlign w:val="bottom"/>
          </w:tcPr>
          <w:p>
            <w:pPr>
              <w:jc w:val="right"/>
              <w:ind w:right="277"/>
              <w:spacing w:after="0"/>
              <w:rPr>
                <w:sz w:val="20"/>
                <w:szCs w:val="20"/>
                <w:color w:val="auto"/>
              </w:rPr>
            </w:pPr>
            <w:r>
              <w:rPr>
                <w:rFonts w:ascii="Arial" w:cs="Arial" w:eastAsia="Arial" w:hAnsi="Arial"/>
                <w:sz w:val="9"/>
                <w:szCs w:val="9"/>
                <w:color w:val="auto"/>
              </w:rPr>
              <w:t>5</w:t>
            </w:r>
          </w:p>
        </w:tc>
        <w:tc>
          <w:tcPr>
            <w:tcW w:w="2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24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20" w:type="dxa"/>
            <w:vAlign w:val="bottom"/>
          </w:tcPr>
          <w:p>
            <w:pPr>
              <w:spacing w:after="0"/>
              <w:rPr>
                <w:sz w:val="18"/>
                <w:szCs w:val="18"/>
                <w:color w:val="auto"/>
              </w:rPr>
            </w:pPr>
          </w:p>
        </w:tc>
        <w:tc>
          <w:tcPr>
            <w:tcW w:w="500" w:type="dxa"/>
            <w:vAlign w:val="bottom"/>
          </w:tcPr>
          <w:p>
            <w:pPr>
              <w:ind w:left="240"/>
              <w:spacing w:after="0"/>
              <w:rPr>
                <w:sz w:val="20"/>
                <w:szCs w:val="20"/>
                <w:color w:val="auto"/>
              </w:rPr>
            </w:pPr>
            <w:r>
              <w:rPr>
                <w:rFonts w:ascii="Arial" w:cs="Arial" w:eastAsia="Arial" w:hAnsi="Arial"/>
                <w:sz w:val="9"/>
                <w:szCs w:val="9"/>
                <w:color w:val="auto"/>
              </w:rPr>
              <w:t>20%</w:t>
            </w:r>
          </w:p>
        </w:tc>
      </w:tr>
      <w:tr>
        <w:trPr>
          <w:trHeight w:val="207"/>
        </w:trPr>
        <w:tc>
          <w:tcPr>
            <w:tcW w:w="420" w:type="dxa"/>
            <w:vAlign w:val="bottom"/>
          </w:tcPr>
          <w:p>
            <w:pPr>
              <w:jc w:val="right"/>
              <w:ind w:right="277"/>
              <w:spacing w:after="0"/>
              <w:rPr>
                <w:sz w:val="20"/>
                <w:szCs w:val="20"/>
                <w:color w:val="auto"/>
              </w:rPr>
            </w:pPr>
            <w:r>
              <w:rPr>
                <w:rFonts w:ascii="Arial" w:cs="Arial" w:eastAsia="Arial" w:hAnsi="Arial"/>
                <w:sz w:val="9"/>
                <w:szCs w:val="9"/>
                <w:color w:val="auto"/>
              </w:rPr>
              <w:t>0</w:t>
            </w:r>
          </w:p>
        </w:tc>
        <w:tc>
          <w:tcPr>
            <w:tcW w:w="2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500" w:type="dxa"/>
            <w:vAlign w:val="bottom"/>
          </w:tcPr>
          <w:p>
            <w:pPr>
              <w:ind w:left="240"/>
              <w:spacing w:after="0"/>
              <w:rPr>
                <w:sz w:val="20"/>
                <w:szCs w:val="20"/>
                <w:color w:val="auto"/>
              </w:rPr>
            </w:pPr>
            <w:r>
              <w:rPr>
                <w:rFonts w:ascii="Arial" w:cs="Arial" w:eastAsia="Arial" w:hAnsi="Arial"/>
                <w:sz w:val="9"/>
                <w:szCs w:val="9"/>
                <w:color w:val="auto"/>
              </w:rPr>
              <w:t>0%</w:t>
            </w:r>
          </w:p>
        </w:tc>
      </w:tr>
      <w:tr>
        <w:trPr>
          <w:trHeight w:val="354"/>
        </w:trPr>
        <w:tc>
          <w:tcPr>
            <w:tcW w:w="420" w:type="dxa"/>
            <w:vAlign w:val="bottom"/>
            <w:textDirection w:val="btLr"/>
          </w:tcPr>
          <w:p>
            <w:pPr>
              <w:ind w:right="28"/>
              <w:spacing w:after="0" w:line="225" w:lineRule="auto"/>
              <w:rPr>
                <w:sz w:val="20"/>
                <w:szCs w:val="20"/>
                <w:color w:val="auto"/>
              </w:rPr>
            </w:pPr>
            <w:r>
              <w:rPr>
                <w:rFonts w:ascii="Arial" w:cs="Arial" w:eastAsia="Arial" w:hAnsi="Arial"/>
                <w:sz w:val="9"/>
                <w:szCs w:val="9"/>
                <w:color w:val="auto"/>
              </w:rPr>
              <w:t>FY15</w:t>
            </w:r>
          </w:p>
        </w:tc>
        <w:tc>
          <w:tcPr>
            <w:tcW w:w="220" w:type="dxa"/>
            <w:vAlign w:val="bottom"/>
            <w:textDirection w:val="btLr"/>
          </w:tcPr>
          <w:p>
            <w:pPr>
              <w:ind w:left="70"/>
              <w:spacing w:after="0" w:line="224" w:lineRule="auto"/>
              <w:rPr>
                <w:sz w:val="20"/>
                <w:szCs w:val="20"/>
                <w:color w:val="auto"/>
              </w:rPr>
            </w:pPr>
            <w:r>
              <w:rPr>
                <w:rFonts w:ascii="Arial" w:cs="Arial" w:eastAsia="Arial" w:hAnsi="Arial"/>
                <w:sz w:val="9"/>
                <w:szCs w:val="9"/>
                <w:color w:val="auto"/>
              </w:rPr>
              <w:t>FY16</w:t>
            </w:r>
          </w:p>
        </w:tc>
        <w:tc>
          <w:tcPr>
            <w:tcW w:w="260" w:type="dxa"/>
            <w:vAlign w:val="bottom"/>
            <w:textDirection w:val="btLr"/>
          </w:tcPr>
          <w:p>
            <w:pPr>
              <w:ind w:left="86"/>
              <w:spacing w:after="0" w:line="224" w:lineRule="auto"/>
              <w:rPr>
                <w:sz w:val="20"/>
                <w:szCs w:val="20"/>
                <w:color w:val="auto"/>
              </w:rPr>
            </w:pPr>
            <w:r>
              <w:rPr>
                <w:rFonts w:ascii="Arial" w:cs="Arial" w:eastAsia="Arial" w:hAnsi="Arial"/>
                <w:sz w:val="9"/>
                <w:szCs w:val="9"/>
                <w:color w:val="auto"/>
              </w:rPr>
              <w:t>FY17</w:t>
            </w:r>
          </w:p>
        </w:tc>
        <w:tc>
          <w:tcPr>
            <w:tcW w:w="220" w:type="dxa"/>
            <w:vAlign w:val="bottom"/>
            <w:textDirection w:val="btLr"/>
          </w:tcPr>
          <w:p>
            <w:pPr>
              <w:ind w:left="62"/>
              <w:spacing w:after="0" w:line="224" w:lineRule="auto"/>
              <w:rPr>
                <w:sz w:val="20"/>
                <w:szCs w:val="20"/>
                <w:color w:val="auto"/>
              </w:rPr>
            </w:pPr>
            <w:r>
              <w:rPr>
                <w:rFonts w:ascii="Arial" w:cs="Arial" w:eastAsia="Arial" w:hAnsi="Arial"/>
                <w:sz w:val="9"/>
                <w:szCs w:val="9"/>
                <w:color w:val="auto"/>
              </w:rPr>
              <w:t>FY18</w:t>
            </w:r>
          </w:p>
        </w:tc>
        <w:tc>
          <w:tcPr>
            <w:tcW w:w="240" w:type="dxa"/>
            <w:vAlign w:val="bottom"/>
            <w:textDirection w:val="btLr"/>
          </w:tcPr>
          <w:p>
            <w:pPr>
              <w:ind w:left="79"/>
              <w:spacing w:after="0" w:line="224" w:lineRule="auto"/>
              <w:rPr>
                <w:sz w:val="20"/>
                <w:szCs w:val="20"/>
                <w:color w:val="auto"/>
              </w:rPr>
            </w:pPr>
            <w:r>
              <w:rPr>
                <w:rFonts w:ascii="Arial" w:cs="Arial" w:eastAsia="Arial" w:hAnsi="Arial"/>
                <w:sz w:val="9"/>
                <w:szCs w:val="9"/>
                <w:color w:val="auto"/>
              </w:rPr>
              <w:t>FY19</w:t>
            </w:r>
          </w:p>
        </w:tc>
        <w:tc>
          <w:tcPr>
            <w:tcW w:w="180" w:type="dxa"/>
            <w:vAlign w:val="bottom"/>
            <w:textDirection w:val="btLr"/>
          </w:tcPr>
          <w:p>
            <w:pPr>
              <w:ind w:left="75"/>
              <w:spacing w:after="0" w:line="224" w:lineRule="auto"/>
              <w:rPr>
                <w:sz w:val="20"/>
                <w:szCs w:val="20"/>
                <w:color w:val="auto"/>
              </w:rPr>
            </w:pPr>
            <w:r>
              <w:rPr>
                <w:rFonts w:ascii="Arial" w:cs="Arial" w:eastAsia="Arial" w:hAnsi="Arial"/>
                <w:sz w:val="9"/>
                <w:szCs w:val="9"/>
                <w:color w:val="auto"/>
              </w:rPr>
              <w:t>FY20</w:t>
            </w:r>
          </w:p>
        </w:tc>
        <w:tc>
          <w:tcPr>
            <w:tcW w:w="280" w:type="dxa"/>
            <w:vAlign w:val="bottom"/>
            <w:textDirection w:val="btLr"/>
          </w:tcPr>
          <w:p>
            <w:pPr>
              <w:ind w:left="132"/>
              <w:spacing w:after="0" w:line="224" w:lineRule="auto"/>
              <w:rPr>
                <w:sz w:val="20"/>
                <w:szCs w:val="20"/>
                <w:color w:val="auto"/>
              </w:rPr>
            </w:pPr>
            <w:r>
              <w:rPr>
                <w:rFonts w:ascii="Arial" w:cs="Arial" w:eastAsia="Arial" w:hAnsi="Arial"/>
                <w:sz w:val="9"/>
                <w:szCs w:val="9"/>
                <w:color w:val="auto"/>
              </w:rPr>
              <w:t>FY21</w:t>
            </w:r>
          </w:p>
        </w:tc>
        <w:tc>
          <w:tcPr>
            <w:tcW w:w="320" w:type="dxa"/>
            <w:vAlign w:val="bottom"/>
            <w:textDirection w:val="btLr"/>
          </w:tcPr>
          <w:p>
            <w:pPr>
              <w:ind w:left="88"/>
              <w:spacing w:after="0" w:line="225" w:lineRule="auto"/>
              <w:rPr>
                <w:sz w:val="20"/>
                <w:szCs w:val="20"/>
                <w:color w:val="auto"/>
              </w:rPr>
            </w:pPr>
            <w:r>
              <w:rPr>
                <w:rFonts w:ascii="Arial" w:cs="Arial" w:eastAsia="Arial" w:hAnsi="Arial"/>
                <w:sz w:val="9"/>
                <w:szCs w:val="9"/>
                <w:color w:val="auto"/>
              </w:rPr>
              <w:t>FY22</w:t>
            </w:r>
          </w:p>
        </w:tc>
        <w:tc>
          <w:tcPr>
            <w:tcW w:w="500" w:type="dxa"/>
            <w:vAlign w:val="bottom"/>
            <w:textDirection w:val="btLr"/>
          </w:tcPr>
          <w:p>
            <w:pPr>
              <w:ind w:left="4"/>
              <w:spacing w:after="0" w:line="225" w:lineRule="auto"/>
              <w:rPr>
                <w:sz w:val="20"/>
                <w:szCs w:val="20"/>
                <w:color w:val="auto"/>
              </w:rPr>
            </w:pPr>
            <w:r>
              <w:rPr>
                <w:rFonts w:ascii="Arial" w:cs="Arial" w:eastAsia="Arial" w:hAnsi="Arial"/>
                <w:sz w:val="9"/>
                <w:szCs w:val="9"/>
                <w:color w:val="auto"/>
                <w:w w:val="99"/>
              </w:rPr>
              <w:t>9MFY23</w:t>
            </w:r>
          </w:p>
        </w:tc>
      </w:tr>
      <w:tr>
        <w:trPr>
          <w:trHeight w:val="96"/>
        </w:trPr>
        <w:tc>
          <w:tcPr>
            <w:tcW w:w="900" w:type="dxa"/>
            <w:vAlign w:val="bottom"/>
            <w:gridSpan w:val="3"/>
          </w:tcPr>
          <w:p>
            <w:pPr>
              <w:ind w:left="180"/>
              <w:spacing w:after="0"/>
              <w:rPr>
                <w:sz w:val="20"/>
                <w:szCs w:val="20"/>
                <w:color w:val="auto"/>
              </w:rPr>
            </w:pPr>
            <w:r>
              <w:rPr>
                <w:rFonts w:ascii="Arial" w:cs="Arial" w:eastAsia="Arial" w:hAnsi="Arial"/>
                <w:sz w:val="7"/>
                <w:szCs w:val="7"/>
                <w:color w:val="auto"/>
              </w:rPr>
              <w:t>Wells drilled - OGDC</w:t>
            </w:r>
          </w:p>
        </w:tc>
        <w:tc>
          <w:tcPr>
            <w:tcW w:w="220" w:type="dxa"/>
            <w:vAlign w:val="bottom"/>
          </w:tcPr>
          <w:p>
            <w:pPr>
              <w:spacing w:after="0"/>
              <w:rPr>
                <w:sz w:val="8"/>
                <w:szCs w:val="8"/>
                <w:color w:val="auto"/>
              </w:rPr>
            </w:pPr>
          </w:p>
        </w:tc>
        <w:tc>
          <w:tcPr>
            <w:tcW w:w="240" w:type="dxa"/>
            <w:vAlign w:val="bottom"/>
          </w:tcPr>
          <w:p>
            <w:pPr>
              <w:spacing w:after="0"/>
              <w:rPr>
                <w:sz w:val="8"/>
                <w:szCs w:val="8"/>
                <w:color w:val="auto"/>
              </w:rPr>
            </w:pPr>
          </w:p>
        </w:tc>
        <w:tc>
          <w:tcPr>
            <w:tcW w:w="180" w:type="dxa"/>
            <w:vAlign w:val="bottom"/>
          </w:tcPr>
          <w:p>
            <w:pPr>
              <w:spacing w:after="0"/>
              <w:rPr>
                <w:sz w:val="8"/>
                <w:szCs w:val="8"/>
                <w:color w:val="auto"/>
              </w:rPr>
            </w:pPr>
          </w:p>
        </w:tc>
        <w:tc>
          <w:tcPr>
            <w:tcW w:w="600" w:type="dxa"/>
            <w:vAlign w:val="bottom"/>
            <w:gridSpan w:val="2"/>
          </w:tcPr>
          <w:p>
            <w:pPr>
              <w:ind w:left="20"/>
              <w:spacing w:after="0"/>
              <w:rPr>
                <w:sz w:val="20"/>
                <w:szCs w:val="20"/>
                <w:color w:val="auto"/>
              </w:rPr>
            </w:pPr>
            <w:r>
              <w:rPr>
                <w:rFonts w:ascii="Arial" w:cs="Arial" w:eastAsia="Arial" w:hAnsi="Arial"/>
                <w:sz w:val="7"/>
                <w:szCs w:val="7"/>
                <w:color w:val="auto"/>
                <w:w w:val="97"/>
              </w:rPr>
              <w:t>Wells drilled - PPL</w:t>
            </w:r>
          </w:p>
        </w:tc>
        <w:tc>
          <w:tcPr>
            <w:tcW w:w="500" w:type="dxa"/>
            <w:vAlign w:val="bottom"/>
          </w:tcPr>
          <w:p>
            <w:pPr>
              <w:spacing w:after="0"/>
              <w:rPr>
                <w:sz w:val="8"/>
                <w:szCs w:val="8"/>
                <w:color w:val="auto"/>
              </w:rPr>
            </w:pPr>
          </w:p>
        </w:tc>
      </w:tr>
      <w:tr>
        <w:trPr>
          <w:trHeight w:val="201"/>
        </w:trPr>
        <w:tc>
          <w:tcPr>
            <w:tcW w:w="1360" w:type="dxa"/>
            <w:vAlign w:val="bottom"/>
            <w:gridSpan w:val="5"/>
          </w:tcPr>
          <w:p>
            <w:pPr>
              <w:ind w:left="180"/>
              <w:spacing w:after="0"/>
              <w:rPr>
                <w:sz w:val="20"/>
                <w:szCs w:val="20"/>
                <w:color w:val="auto"/>
              </w:rPr>
            </w:pPr>
            <w:r>
              <w:rPr>
                <w:rFonts w:ascii="Arial" w:cs="Arial" w:eastAsia="Arial" w:hAnsi="Arial"/>
                <w:sz w:val="7"/>
                <w:szCs w:val="7"/>
                <w:color w:val="auto"/>
              </w:rPr>
              <w:t>Cash collection - OGDC (%) -RHS</w:t>
            </w:r>
          </w:p>
        </w:tc>
        <w:tc>
          <w:tcPr>
            <w:tcW w:w="180" w:type="dxa"/>
            <w:vAlign w:val="bottom"/>
          </w:tcPr>
          <w:p>
            <w:pPr>
              <w:spacing w:after="0"/>
              <w:rPr>
                <w:sz w:val="17"/>
                <w:szCs w:val="17"/>
                <w:color w:val="auto"/>
              </w:rPr>
            </w:pPr>
          </w:p>
        </w:tc>
        <w:tc>
          <w:tcPr>
            <w:tcW w:w="1080" w:type="dxa"/>
            <w:vAlign w:val="bottom"/>
            <w:gridSpan w:val="3"/>
          </w:tcPr>
          <w:p>
            <w:pPr>
              <w:ind w:left="20"/>
              <w:spacing w:after="0"/>
              <w:rPr>
                <w:sz w:val="20"/>
                <w:szCs w:val="20"/>
                <w:color w:val="auto"/>
              </w:rPr>
            </w:pPr>
            <w:r>
              <w:rPr>
                <w:rFonts w:ascii="Arial" w:cs="Arial" w:eastAsia="Arial" w:hAnsi="Arial"/>
                <w:sz w:val="7"/>
                <w:szCs w:val="7"/>
                <w:color w:val="auto"/>
              </w:rPr>
              <w:t>Cash collection - PPL (%) - RHS</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-15240</wp:posOffset>
                </wp:positionH>
                <wp:positionV relativeFrom="paragraph">
                  <wp:posOffset>85090</wp:posOffset>
                </wp:positionV>
                <wp:extent cx="212026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999pt,6.7pt" to="165.75pt,6.7pt" o:allowincell="f" strokecolor="#595959" strokeweight="0.25pt"/>
            </w:pict>
          </mc:Fallback>
        </mc:AlternateContent>
        <w:drawing>
          <wp:anchor simplePos="0" relativeHeight="251657728" behindDoc="1" locked="0" layoutInCell="0" allowOverlap="1">
            <wp:simplePos x="0" y="0"/>
            <wp:positionH relativeFrom="column">
              <wp:posOffset>344805</wp:posOffset>
            </wp:positionH>
            <wp:positionV relativeFrom="paragraph">
              <wp:posOffset>-1269365</wp:posOffset>
            </wp:positionV>
            <wp:extent cx="1350645" cy="8356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350645" cy="835660"/>
                    </a:xfrm>
                    <a:prstGeom prst="rect">
                      <a:avLst/>
                    </a:prstGeom>
                    <a:noFill/>
                  </pic:spPr>
                </pic:pic>
              </a:graphicData>
            </a:graphic>
          </wp:anchor>
        </w:drawing>
        <w:drawing>
          <wp:anchor simplePos="0" relativeHeight="251657728" behindDoc="1" locked="0" layoutInCell="0" allowOverlap="1">
            <wp:simplePos x="0" y="0"/>
            <wp:positionH relativeFrom="column">
              <wp:posOffset>183515</wp:posOffset>
            </wp:positionH>
            <wp:positionV relativeFrom="paragraph">
              <wp:posOffset>-27305</wp:posOffset>
            </wp:positionV>
            <wp:extent cx="142240" cy="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42240" cy="8890"/>
                    </a:xfrm>
                    <a:prstGeom prst="rect">
                      <a:avLst/>
                    </a:prstGeom>
                    <a:noFill/>
                  </pic:spPr>
                </pic:pic>
              </a:graphicData>
            </a:graphic>
          </wp:anchor>
        </w:drawing>
        <w:drawing>
          <wp:anchor simplePos="0" relativeHeight="251657728" behindDoc="1" locked="0" layoutInCell="0" allowOverlap="1">
            <wp:simplePos x="0" y="0"/>
            <wp:positionH relativeFrom="column">
              <wp:posOffset>1059180</wp:posOffset>
            </wp:positionH>
            <wp:positionV relativeFrom="paragraph">
              <wp:posOffset>-26035</wp:posOffset>
            </wp:positionV>
            <wp:extent cx="142240" cy="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42240" cy="6985"/>
                    </a:xfrm>
                    <a:prstGeom prst="rect">
                      <a:avLst/>
                    </a:prstGeom>
                    <a:noFill/>
                  </pic:spPr>
                </pic:pic>
              </a:graphicData>
            </a:graphic>
          </wp:anchor>
        </w:drawing>
      </w:r>
    </w:p>
    <w:p>
      <w:pPr>
        <w:spacing w:after="0" w:line="161" w:lineRule="exact"/>
        <w:rPr>
          <w:sz w:val="24"/>
          <w:szCs w:val="24"/>
          <w:color w:val="auto"/>
        </w:rPr>
      </w:pPr>
    </w:p>
    <w:p>
      <w:pPr>
        <w:ind w:left="1480"/>
        <w:spacing w:after="0"/>
        <w:rPr>
          <w:sz w:val="20"/>
          <w:szCs w:val="20"/>
          <w:color w:val="auto"/>
        </w:rPr>
      </w:pPr>
      <w:r>
        <w:rPr>
          <w:rFonts w:ascii="Calibri" w:cs="Calibri" w:eastAsia="Calibri" w:hAnsi="Calibri"/>
          <w:sz w:val="14"/>
          <w:szCs w:val="14"/>
          <w:color w:val="auto"/>
        </w:rPr>
        <w:t>Source: OGRA &amp; AKD Research</w:t>
      </w:r>
    </w:p>
    <w:p>
      <w:pPr>
        <w:spacing w:after="0" w:line="199" w:lineRule="exact"/>
        <w:rPr>
          <w:sz w:val="24"/>
          <w:szCs w:val="24"/>
          <w:color w:val="auto"/>
        </w:rPr>
      </w:pPr>
    </w:p>
    <w:p>
      <w:pPr>
        <w:spacing w:after="0"/>
        <w:rPr>
          <w:sz w:val="20"/>
          <w:szCs w:val="20"/>
          <w:color w:val="auto"/>
        </w:rPr>
      </w:pPr>
      <w:r>
        <w:rPr>
          <w:rFonts w:ascii="Calibri" w:cs="Calibri" w:eastAsia="Calibri" w:hAnsi="Calibri"/>
          <w:sz w:val="16"/>
          <w:szCs w:val="16"/>
          <w:b w:val="1"/>
          <w:bCs w:val="1"/>
          <w:i w:val="1"/>
          <w:iCs w:val="1"/>
          <w:color w:val="0C2D73"/>
        </w:rPr>
        <w:t>OGDC</w:t>
      </w:r>
      <w:r>
        <w:rPr>
          <w:rFonts w:ascii="Calibri" w:cs="Calibri" w:eastAsia="Calibri" w:hAnsi="Calibri"/>
          <w:sz w:val="16"/>
          <w:szCs w:val="16"/>
          <w:b w:val="1"/>
          <w:bCs w:val="1"/>
          <w:color w:val="0C2D73"/>
        </w:rPr>
        <w:t xml:space="preserve"> | </w:t>
      </w:r>
      <w:r>
        <w:rPr>
          <w:rFonts w:ascii="Calibri" w:cs="Calibri" w:eastAsia="Calibri" w:hAnsi="Calibri"/>
          <w:sz w:val="16"/>
          <w:szCs w:val="16"/>
          <w:b w:val="1"/>
          <w:bCs w:val="1"/>
          <w:i w:val="1"/>
          <w:iCs w:val="1"/>
          <w:color w:val="0C2D73"/>
        </w:rPr>
        <w:t>PPL - Receivables forecast (PkRmn)</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-14605</wp:posOffset>
                </wp:positionH>
                <wp:positionV relativeFrom="paragraph">
                  <wp:posOffset>30480</wp:posOffset>
                </wp:positionV>
                <wp:extent cx="21202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499pt,2.4pt" to="165.8pt,2.4pt" o:allowincell="f" strokecolor="#595959" strokeweight="0.25pt"/>
            </w:pict>
          </mc:Fallback>
        </mc:AlternateContent>
      </w:r>
    </w:p>
    <w:p>
      <w:pPr>
        <w:spacing w:after="0" w:line="125"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800,000</w:t>
      </w:r>
    </w:p>
    <w:p>
      <w:pPr>
        <w:spacing w:after="0" w:line="109"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700,000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431165</wp:posOffset>
            </wp:positionH>
            <wp:positionV relativeFrom="paragraph">
              <wp:posOffset>9525</wp:posOffset>
            </wp:positionV>
            <wp:extent cx="1426845" cy="9055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1426845" cy="905510"/>
                    </a:xfrm>
                    <a:prstGeom prst="rect">
                      <a:avLst/>
                    </a:prstGeom>
                    <a:noFill/>
                  </pic:spPr>
                </pic:pic>
              </a:graphicData>
            </a:graphic>
          </wp:anchor>
        </w:drawing>
      </w:r>
    </w:p>
    <w:p>
      <w:pPr>
        <w:spacing w:after="0" w:line="89"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600,000</w:t>
      </w:r>
    </w:p>
    <w:p>
      <w:pPr>
        <w:spacing w:after="0" w:line="109"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500,000</w:t>
      </w:r>
    </w:p>
    <w:p>
      <w:pPr>
        <w:spacing w:after="0" w:line="109"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400,000</w:t>
      </w:r>
    </w:p>
    <w:p>
      <w:pPr>
        <w:spacing w:after="0" w:line="109"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300,000</w:t>
      </w:r>
    </w:p>
    <w:p>
      <w:pPr>
        <w:spacing w:after="0" w:line="108"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200,000</w:t>
      </w:r>
    </w:p>
    <w:p>
      <w:pPr>
        <w:spacing w:after="0" w:line="109"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100,000</w:t>
      </w:r>
    </w:p>
    <w:p>
      <w:pPr>
        <w:spacing w:after="0" w:line="109" w:lineRule="exact"/>
        <w:rPr>
          <w:sz w:val="24"/>
          <w:szCs w:val="24"/>
          <w:color w:val="auto"/>
        </w:rPr>
      </w:pPr>
    </w:p>
    <w:p>
      <w:pPr>
        <w:jc w:val="right"/>
        <w:ind w:right="2680"/>
        <w:spacing w:after="0"/>
        <w:rPr>
          <w:sz w:val="20"/>
          <w:szCs w:val="20"/>
          <w:color w:val="auto"/>
        </w:rPr>
      </w:pPr>
      <w:r>
        <w:rPr>
          <w:rFonts w:ascii="Arial" w:cs="Arial" w:eastAsia="Arial" w:hAnsi="Arial"/>
          <w:sz w:val="9"/>
          <w:szCs w:val="9"/>
          <w:color w:val="auto"/>
        </w:rPr>
        <w:t>0</w:t>
      </w:r>
    </w:p>
    <w:p>
      <w:pPr>
        <w:spacing w:after="0" w:line="8" w:lineRule="exact"/>
        <w:rPr>
          <w:sz w:val="24"/>
          <w:szCs w:val="24"/>
          <w:color w:val="auto"/>
        </w:rPr>
      </w:pPr>
    </w:p>
    <w:tbl>
      <w:tblPr>
        <w:tblLayout w:type="fixed"/>
        <w:tblInd w:w="720" w:type="dxa"/>
        <w:tblCellMar>
          <w:top w:w="0" w:type="dxa"/>
          <w:left w:w="0" w:type="dxa"/>
          <w:bottom w:w="0" w:type="dxa"/>
          <w:right w:w="0" w:type="dxa"/>
        </w:tblCellMar>
      </w:tblPr>
      <w:tr>
        <w:trPr>
          <w:trHeight w:val="273"/>
        </w:trPr>
        <w:tc>
          <w:tcPr>
            <w:tcW w:w="140" w:type="dxa"/>
            <w:vAlign w:val="bottom"/>
            <w:textDirection w:val="btLr"/>
          </w:tcPr>
          <w:p>
            <w:pPr>
              <w:ind w:left="2"/>
              <w:spacing w:after="0" w:line="229" w:lineRule="auto"/>
              <w:rPr>
                <w:sz w:val="20"/>
                <w:szCs w:val="20"/>
                <w:color w:val="auto"/>
              </w:rPr>
            </w:pPr>
            <w:r>
              <w:rPr>
                <w:rFonts w:ascii="Arial" w:cs="Arial" w:eastAsia="Arial" w:hAnsi="Arial"/>
                <w:sz w:val="9"/>
                <w:szCs w:val="9"/>
                <w:color w:val="auto"/>
              </w:rPr>
              <w:t>FY16</w:t>
            </w:r>
          </w:p>
        </w:tc>
        <w:tc>
          <w:tcPr>
            <w:tcW w:w="180" w:type="dxa"/>
            <w:vAlign w:val="bottom"/>
            <w:textDirection w:val="btLr"/>
          </w:tcPr>
          <w:p>
            <w:pPr>
              <w:ind w:left="49"/>
              <w:spacing w:after="0" w:line="229" w:lineRule="auto"/>
              <w:rPr>
                <w:sz w:val="20"/>
                <w:szCs w:val="20"/>
                <w:color w:val="auto"/>
              </w:rPr>
            </w:pPr>
            <w:r>
              <w:rPr>
                <w:rFonts w:ascii="Arial" w:cs="Arial" w:eastAsia="Arial" w:hAnsi="Arial"/>
                <w:sz w:val="9"/>
                <w:szCs w:val="9"/>
                <w:color w:val="auto"/>
              </w:rPr>
              <w:t>FY17</w:t>
            </w:r>
          </w:p>
        </w:tc>
        <w:tc>
          <w:tcPr>
            <w:tcW w:w="200" w:type="dxa"/>
            <w:vAlign w:val="bottom"/>
            <w:textDirection w:val="btLr"/>
          </w:tcPr>
          <w:p>
            <w:pPr>
              <w:ind w:left="57"/>
              <w:spacing w:after="0" w:line="229" w:lineRule="auto"/>
              <w:rPr>
                <w:sz w:val="20"/>
                <w:szCs w:val="20"/>
                <w:color w:val="auto"/>
              </w:rPr>
            </w:pPr>
            <w:r>
              <w:rPr>
                <w:rFonts w:ascii="Arial" w:cs="Arial" w:eastAsia="Arial" w:hAnsi="Arial"/>
                <w:sz w:val="9"/>
                <w:szCs w:val="9"/>
                <w:color w:val="auto"/>
              </w:rPr>
              <w:t>FY18</w:t>
            </w:r>
          </w:p>
        </w:tc>
        <w:tc>
          <w:tcPr>
            <w:tcW w:w="140" w:type="dxa"/>
            <w:vAlign w:val="bottom"/>
            <w:textDirection w:val="btLr"/>
          </w:tcPr>
          <w:p>
            <w:pPr>
              <w:ind w:left="44"/>
              <w:spacing w:after="0" w:line="222" w:lineRule="auto"/>
              <w:rPr>
                <w:sz w:val="20"/>
                <w:szCs w:val="20"/>
                <w:color w:val="auto"/>
              </w:rPr>
            </w:pPr>
            <w:r>
              <w:rPr>
                <w:rFonts w:ascii="Arial" w:cs="Arial" w:eastAsia="Arial" w:hAnsi="Arial"/>
                <w:sz w:val="9"/>
                <w:szCs w:val="9"/>
                <w:color w:val="auto"/>
              </w:rPr>
              <w:t>FY19</w:t>
            </w:r>
          </w:p>
        </w:tc>
        <w:tc>
          <w:tcPr>
            <w:tcW w:w="280" w:type="dxa"/>
            <w:vAlign w:val="bottom"/>
            <w:textDirection w:val="btLr"/>
          </w:tcPr>
          <w:p>
            <w:pPr>
              <w:spacing w:after="0" w:line="229" w:lineRule="auto"/>
              <w:rPr>
                <w:sz w:val="20"/>
                <w:szCs w:val="20"/>
                <w:color w:val="auto"/>
              </w:rPr>
            </w:pPr>
            <w:r>
              <w:rPr>
                <w:rFonts w:ascii="Arial" w:cs="Arial" w:eastAsia="Arial" w:hAnsi="Arial"/>
                <w:sz w:val="9"/>
                <w:szCs w:val="9"/>
                <w:color w:val="auto"/>
              </w:rPr>
              <w:t>FY20</w:t>
            </w:r>
          </w:p>
        </w:tc>
        <w:tc>
          <w:tcPr>
            <w:tcW w:w="100" w:type="dxa"/>
            <w:vAlign w:val="bottom"/>
            <w:textDirection w:val="btLr"/>
          </w:tcPr>
          <w:p>
            <w:pPr>
              <w:spacing w:after="0" w:line="225" w:lineRule="auto"/>
              <w:rPr>
                <w:sz w:val="20"/>
                <w:szCs w:val="20"/>
                <w:color w:val="auto"/>
              </w:rPr>
            </w:pPr>
            <w:r>
              <w:rPr>
                <w:rFonts w:ascii="Arial" w:cs="Arial" w:eastAsia="Arial" w:hAnsi="Arial"/>
                <w:sz w:val="9"/>
                <w:szCs w:val="9"/>
                <w:color w:val="auto"/>
              </w:rPr>
              <w:t>FY21</w:t>
            </w:r>
          </w:p>
        </w:tc>
        <w:tc>
          <w:tcPr>
            <w:tcW w:w="240" w:type="dxa"/>
            <w:vAlign w:val="bottom"/>
            <w:textDirection w:val="btLr"/>
          </w:tcPr>
          <w:p>
            <w:pPr>
              <w:ind w:left="86"/>
              <w:spacing w:after="0" w:line="229" w:lineRule="auto"/>
              <w:rPr>
                <w:sz w:val="20"/>
                <w:szCs w:val="20"/>
                <w:color w:val="auto"/>
              </w:rPr>
            </w:pPr>
            <w:r>
              <w:rPr>
                <w:rFonts w:ascii="Arial" w:cs="Arial" w:eastAsia="Arial" w:hAnsi="Arial"/>
                <w:sz w:val="9"/>
                <w:szCs w:val="9"/>
                <w:color w:val="auto"/>
              </w:rPr>
              <w:t>FY22</w:t>
            </w:r>
          </w:p>
        </w:tc>
        <w:tc>
          <w:tcPr>
            <w:tcW w:w="160" w:type="dxa"/>
            <w:vAlign w:val="bottom"/>
            <w:textDirection w:val="btLr"/>
          </w:tcPr>
          <w:p>
            <w:pPr>
              <w:ind w:left="34"/>
              <w:spacing w:after="0" w:line="229" w:lineRule="auto"/>
              <w:rPr>
                <w:sz w:val="20"/>
                <w:szCs w:val="20"/>
                <w:color w:val="auto"/>
              </w:rPr>
            </w:pPr>
            <w:r>
              <w:rPr>
                <w:rFonts w:ascii="Arial" w:cs="Arial" w:eastAsia="Arial" w:hAnsi="Arial"/>
                <w:sz w:val="9"/>
                <w:szCs w:val="9"/>
                <w:color w:val="auto"/>
                <w:w w:val="96"/>
              </w:rPr>
              <w:t>FY23F</w:t>
            </w:r>
          </w:p>
        </w:tc>
        <w:tc>
          <w:tcPr>
            <w:tcW w:w="200" w:type="dxa"/>
            <w:vAlign w:val="bottom"/>
            <w:textDirection w:val="btLr"/>
          </w:tcPr>
          <w:p>
            <w:pPr>
              <w:ind w:left="61"/>
              <w:spacing w:after="0" w:line="229" w:lineRule="auto"/>
              <w:rPr>
                <w:sz w:val="20"/>
                <w:szCs w:val="20"/>
                <w:color w:val="auto"/>
              </w:rPr>
            </w:pPr>
            <w:r>
              <w:rPr>
                <w:rFonts w:ascii="Arial" w:cs="Arial" w:eastAsia="Arial" w:hAnsi="Arial"/>
                <w:sz w:val="9"/>
                <w:szCs w:val="9"/>
                <w:color w:val="auto"/>
                <w:w w:val="96"/>
              </w:rPr>
              <w:t>FY24F</w:t>
            </w:r>
          </w:p>
        </w:tc>
        <w:tc>
          <w:tcPr>
            <w:tcW w:w="180" w:type="dxa"/>
            <w:vAlign w:val="bottom"/>
            <w:textDirection w:val="btLr"/>
          </w:tcPr>
          <w:p>
            <w:pPr>
              <w:ind w:left="48"/>
              <w:spacing w:after="0" w:line="230" w:lineRule="auto"/>
              <w:rPr>
                <w:sz w:val="20"/>
                <w:szCs w:val="20"/>
                <w:color w:val="auto"/>
              </w:rPr>
            </w:pPr>
            <w:r>
              <w:rPr>
                <w:rFonts w:ascii="Arial" w:cs="Arial" w:eastAsia="Arial" w:hAnsi="Arial"/>
                <w:sz w:val="9"/>
                <w:szCs w:val="9"/>
                <w:color w:val="auto"/>
                <w:w w:val="96"/>
              </w:rPr>
              <w:t>FY25F</w:t>
            </w:r>
          </w:p>
        </w:tc>
        <w:tc>
          <w:tcPr>
            <w:tcW w:w="200" w:type="dxa"/>
            <w:vAlign w:val="bottom"/>
            <w:textDirection w:val="btLr"/>
          </w:tcPr>
          <w:p>
            <w:pPr>
              <w:ind w:left="55"/>
              <w:spacing w:after="0" w:line="229" w:lineRule="auto"/>
              <w:rPr>
                <w:sz w:val="20"/>
                <w:szCs w:val="20"/>
                <w:color w:val="auto"/>
              </w:rPr>
            </w:pPr>
            <w:r>
              <w:rPr>
                <w:rFonts w:ascii="Arial" w:cs="Arial" w:eastAsia="Arial" w:hAnsi="Arial"/>
                <w:sz w:val="9"/>
                <w:szCs w:val="9"/>
                <w:color w:val="auto"/>
                <w:w w:val="96"/>
              </w:rPr>
              <w:t>FY26F</w:t>
            </w:r>
          </w:p>
        </w:tc>
        <w:tc>
          <w:tcPr>
            <w:tcW w:w="140" w:type="dxa"/>
            <w:vAlign w:val="bottom"/>
            <w:textDirection w:val="btLr"/>
          </w:tcPr>
          <w:p>
            <w:pPr>
              <w:ind w:left="43"/>
              <w:spacing w:after="0" w:line="201" w:lineRule="auto"/>
              <w:rPr>
                <w:sz w:val="20"/>
                <w:szCs w:val="20"/>
                <w:color w:val="auto"/>
              </w:rPr>
            </w:pPr>
            <w:r>
              <w:rPr>
                <w:rFonts w:ascii="Arial" w:cs="Arial" w:eastAsia="Arial" w:hAnsi="Arial"/>
                <w:sz w:val="8"/>
                <w:szCs w:val="8"/>
                <w:color w:val="auto"/>
              </w:rPr>
              <w:t>FY27F</w:t>
            </w:r>
          </w:p>
        </w:tc>
      </w:tr>
      <w:tr>
        <w:trPr>
          <w:trHeight w:val="183"/>
        </w:trPr>
        <w:tc>
          <w:tcPr>
            <w:tcW w:w="1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280" w:type="dxa"/>
            <w:vAlign w:val="bottom"/>
          </w:tcPr>
          <w:p>
            <w:pPr>
              <w:jc w:val="center"/>
              <w:spacing w:after="0"/>
              <w:rPr>
                <w:sz w:val="20"/>
                <w:szCs w:val="20"/>
                <w:color w:val="auto"/>
              </w:rPr>
            </w:pPr>
            <w:r>
              <w:rPr>
                <w:rFonts w:ascii="Arial" w:cs="Arial" w:eastAsia="Arial" w:hAnsi="Arial"/>
                <w:sz w:val="9"/>
                <w:szCs w:val="9"/>
                <w:color w:val="auto"/>
              </w:rPr>
              <w:t>OGDC</w:t>
            </w:r>
          </w:p>
        </w:tc>
        <w:tc>
          <w:tcPr>
            <w:tcW w:w="100" w:type="dxa"/>
            <w:vAlign w:val="bottom"/>
          </w:tcPr>
          <w:p>
            <w:pPr>
              <w:spacing w:after="0"/>
              <w:rPr>
                <w:sz w:val="15"/>
                <w:szCs w:val="15"/>
                <w:color w:val="auto"/>
              </w:rPr>
            </w:pPr>
          </w:p>
        </w:tc>
        <w:tc>
          <w:tcPr>
            <w:tcW w:w="240" w:type="dxa"/>
            <w:vAlign w:val="bottom"/>
          </w:tcPr>
          <w:p>
            <w:pPr>
              <w:ind w:left="20"/>
              <w:spacing w:after="0"/>
              <w:rPr>
                <w:sz w:val="20"/>
                <w:szCs w:val="20"/>
                <w:color w:val="auto"/>
              </w:rPr>
            </w:pPr>
            <w:r>
              <w:rPr>
                <w:rFonts w:ascii="Arial" w:cs="Arial" w:eastAsia="Arial" w:hAnsi="Arial"/>
                <w:sz w:val="9"/>
                <w:szCs w:val="9"/>
                <w:color w:val="auto"/>
              </w:rPr>
              <w:t>PPL</w:t>
            </w:r>
          </w:p>
        </w:tc>
        <w:tc>
          <w:tcPr>
            <w:tcW w:w="16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200" w:type="dxa"/>
            <w:vAlign w:val="bottom"/>
          </w:tcPr>
          <w:p>
            <w:pPr>
              <w:spacing w:after="0"/>
              <w:rPr>
                <w:sz w:val="15"/>
                <w:szCs w:val="15"/>
                <w:color w:val="auto"/>
              </w:rPr>
            </w:pPr>
          </w:p>
        </w:tc>
        <w:tc>
          <w:tcPr>
            <w:tcW w:w="140" w:type="dxa"/>
            <w:vAlign w:val="bottom"/>
          </w:tcPr>
          <w:p>
            <w:pPr>
              <w:spacing w:after="0"/>
              <w:rPr>
                <w:sz w:val="15"/>
                <w:szCs w:val="15"/>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-19685</wp:posOffset>
                </wp:positionH>
                <wp:positionV relativeFrom="paragraph">
                  <wp:posOffset>68580</wp:posOffset>
                </wp:positionV>
                <wp:extent cx="21202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499pt,5.4pt" to="165.4pt,5.4pt" o:allowincell="f" strokecolor="#595959" strokeweight="0.25pt"/>
            </w:pict>
          </mc:Fallback>
        </mc:AlternateContent>
      </w:r>
    </w:p>
    <w:p>
      <w:pPr>
        <w:spacing w:after="0" w:line="134" w:lineRule="exact"/>
        <w:rPr>
          <w:sz w:val="24"/>
          <w:szCs w:val="24"/>
          <w:color w:val="auto"/>
        </w:rPr>
      </w:pPr>
    </w:p>
    <w:p>
      <w:pPr>
        <w:ind w:left="1460"/>
        <w:spacing w:after="0"/>
        <w:rPr>
          <w:sz w:val="20"/>
          <w:szCs w:val="20"/>
          <w:color w:val="auto"/>
        </w:rPr>
      </w:pPr>
      <w:r>
        <w:rPr>
          <w:rFonts w:ascii="Calibri" w:cs="Calibri" w:eastAsia="Calibri" w:hAnsi="Calibri"/>
          <w:sz w:val="14"/>
          <w:szCs w:val="14"/>
          <w:color w:val="auto"/>
        </w:rPr>
        <w:t>Source: OGRA &amp; AKD Research</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742315</wp:posOffset>
            </wp:positionH>
            <wp:positionV relativeFrom="paragraph">
              <wp:posOffset>226060</wp:posOffset>
            </wp:positionV>
            <wp:extent cx="794385" cy="4432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794385" cy="4432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p>
      <w:pPr>
        <w:ind w:left="520"/>
        <w:spacing w:after="0"/>
        <w:rPr>
          <w:sz w:val="20"/>
          <w:szCs w:val="20"/>
          <w:color w:val="auto"/>
        </w:rPr>
      </w:pPr>
      <w:r>
        <w:rPr>
          <w:rFonts w:ascii="Calibri" w:cs="Calibri" w:eastAsia="Calibri" w:hAnsi="Calibri"/>
          <w:sz w:val="26"/>
          <w:szCs w:val="26"/>
          <w:b w:val="1"/>
          <w:bCs w:val="1"/>
          <w:color w:val="auto"/>
        </w:rPr>
        <w:t>AKD Securities Limited</w:t>
      </w:r>
    </w:p>
    <w:p>
      <w:pPr>
        <w:sectPr>
          <w:pgSz w:w="12240" w:h="15840" w:orient="portrait"/>
          <w:cols w:equalWidth="0" w:num="2">
            <w:col w:w="7200" w:space="320"/>
            <w:col w:w="3280"/>
          </w:cols>
          <w:pgMar w:left="700" w:top="58" w:right="740" w:bottom="187" w:gutter="0" w:footer="0" w:header="0"/>
          <w:type w:val="continuous"/>
        </w:sectPr>
      </w:pPr>
    </w:p>
    <w:bookmarkStart w:id="1" w:name="page2"/>
    <w:bookmarkEnd w:id="1"/>
    <w:p>
      <w:pPr>
        <w:ind w:left="20"/>
        <w:spacing w:after="0"/>
        <w:rPr>
          <w:sz w:val="20"/>
          <w:szCs w:val="20"/>
          <w:color w:val="auto"/>
        </w:rPr>
      </w:pPr>
      <w:r>
        <w:rPr>
          <w:rFonts w:ascii="Calibri" w:cs="Calibri" w:eastAsia="Calibri" w:hAnsi="Calibri"/>
          <w:sz w:val="30"/>
          <w:szCs w:val="30"/>
          <w:b w:val="1"/>
          <w:bCs w:val="1"/>
          <w:color w:val="FFFFFF"/>
        </w:rPr>
        <w:drawing>
          <wp:anchor simplePos="0" relativeHeight="251657728" behindDoc="1" locked="0" layoutInCell="0" allowOverlap="1">
            <wp:simplePos x="0" y="0"/>
            <wp:positionH relativeFrom="page">
              <wp:posOffset>2540</wp:posOffset>
            </wp:positionH>
            <wp:positionV relativeFrom="page">
              <wp:posOffset>0</wp:posOffset>
            </wp:positionV>
            <wp:extent cx="3783965" cy="3206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3783965" cy="320675"/>
                    </a:xfrm>
                    <a:prstGeom prst="rect">
                      <a:avLst/>
                    </a:prstGeom>
                    <a:noFill/>
                  </pic:spPr>
                </pic:pic>
              </a:graphicData>
            </a:graphic>
          </wp:anchor>
        </w:drawing>
        <w:t>AKD RESEARCH</w:t>
      </w:r>
    </w:p>
    <w:p>
      <w:pPr>
        <w:spacing w:after="0" w:line="62" w:lineRule="exact"/>
        <w:rPr>
          <w:sz w:val="20"/>
          <w:szCs w:val="20"/>
          <w:color w:val="auto"/>
        </w:rPr>
      </w:pPr>
    </w:p>
    <w:p>
      <w:pPr>
        <w:jc w:val="both"/>
        <w:spacing w:after="0" w:line="239" w:lineRule="auto"/>
        <w:rPr>
          <w:sz w:val="20"/>
          <w:szCs w:val="20"/>
          <w:color w:val="auto"/>
        </w:rPr>
      </w:pPr>
      <w:r>
        <w:rPr>
          <w:rFonts w:ascii="Calibri" w:cs="Calibri" w:eastAsia="Calibri" w:hAnsi="Calibri"/>
          <w:sz w:val="18"/>
          <w:szCs w:val="18"/>
          <w:color w:val="auto"/>
        </w:rPr>
        <w:t>sion projects alongside successfully bidding in high risk blocks (Zone-1). Furthermore, invest-ments in Reko Diq and PIOL, even though farfetched, may be catalysts in years to come, although not incorporated in our projections. Even then, resolution of the circular debt saga is vital for both the state owned E&amp;P companies, due to which exploration activity has remained subdued in the recent years. We expect trade debt buildup to persist in the near term (see graph on right), before slowing down starting FY25 assuming lesser currency volatility (~7% annual depre-ciation) and diligent bi-annually gas tariffs revisions. Presently, both the companies are trading at unprecedented EV/EBITDAs of 1.73/1.33 coupled with meagre forward dividend yields of 10.5%/6.5% for FY24. Based on our projections, our target prices for Dec’23 for OGDC/PPL pres-ently stand at PkR110 and 108/sh, respectively.</w:t>
      </w:r>
    </w:p>
    <w:p>
      <w:pPr>
        <w:spacing w:after="0" w:line="135" w:lineRule="exact"/>
        <w:rPr>
          <w:sz w:val="20"/>
          <w:szCs w:val="20"/>
          <w:color w:val="auto"/>
        </w:rPr>
      </w:pPr>
    </w:p>
    <w:p>
      <w:pPr>
        <w:jc w:val="both"/>
        <w:spacing w:after="0"/>
        <w:rPr>
          <w:sz w:val="20"/>
          <w:szCs w:val="20"/>
          <w:color w:val="auto"/>
        </w:rPr>
      </w:pPr>
      <w:r>
        <w:rPr>
          <w:rFonts w:ascii="Calibri" w:cs="Calibri" w:eastAsia="Calibri" w:hAnsi="Calibri"/>
          <w:sz w:val="18"/>
          <w:szCs w:val="18"/>
          <w:color w:val="auto"/>
        </w:rPr>
        <w:t>The sector’s higher performer, MARI, also saw its receivables from SNGPL grow up to PkR23.4bn (vs. ~10bn in FY22) in nine months amidst recent supply increase to the utility company up to 100mmcfd compared to only 20mmcfd last year. We flag this as a risk, as reliance towards SNGPL is only going to increase going forward on account of future supply increases (Bannu West block, MARI-122H etc.). Either way, MARI remains our top pick amongst the E&amp;P companies with a Dec’23 target price of PkR3,100/sh on the stock, offering total return of of 118% from last close.</w:t>
      </w:r>
    </w:p>
    <w:p>
      <w:pPr>
        <w:spacing w:after="0" w:line="331" w:lineRule="exact"/>
        <w:rPr>
          <w:sz w:val="20"/>
          <w:szCs w:val="20"/>
          <w:color w:val="auto"/>
        </w:rPr>
      </w:pPr>
    </w:p>
    <w:p>
      <w:pPr>
        <w:jc w:val="both"/>
        <w:spacing w:after="0" w:line="241" w:lineRule="auto"/>
        <w:rPr>
          <w:sz w:val="20"/>
          <w:szCs w:val="20"/>
          <w:color w:val="auto"/>
        </w:rPr>
      </w:pPr>
      <w:r>
        <w:rPr>
          <w:rFonts w:ascii="Calibri" w:cs="Calibri" w:eastAsia="Calibri" w:hAnsi="Calibri"/>
          <w:sz w:val="18"/>
          <w:szCs w:val="18"/>
          <w:b w:val="1"/>
          <w:bCs w:val="1"/>
          <w:color w:val="0C2D73"/>
        </w:rPr>
        <w:t>PSO, navigating through turbulent times:</w:t>
      </w:r>
      <w:r>
        <w:rPr>
          <w:rFonts w:ascii="Calibri" w:cs="Calibri" w:eastAsia="Calibri" w:hAnsi="Calibri"/>
          <w:sz w:val="18"/>
          <w:szCs w:val="18"/>
          <w:color w:val="000000"/>
        </w:rPr>
        <w:t xml:space="preserve"> Country’s national OMC is presently battling out work-ing capital issues, more specifically burgeoning trade debt situation owed on account of RLNG supplies to SNGPL. Company’s trade debts have jumped drastically ever since the commodity super cycle hit back in 2021, prompting RLNG tariffs to go as high as ~US$18/MMbtu in May’22, resulting in gas based receivables to grow by PkR315bn in two years. Not only has this resulted in PSO borrowing heavily to finance the short fall in this rising interest rate cycle (finance costs ↑9x YoY) , it has also constrained the company’s ability to carry out operations effectively (POL im-ports/CAPEX), resulting in significant liability buildups to foreign suppliers e.g. Kuwait Petroleum (foreign trade payable: +PkR210bn b/w FY19-22). However, recent measures taken by the Govt’ (power and gas tarrif revisions) in order to meet with conditions set out by the IMF, may be a sigh of relief for the SOE energy chain overall. With another gas price revision expected post FY24 budget, we expect belligerent build-up of RLNG receivables from the gas utility company to gradually slowdown between FY24/FY25, assuming some mechanism is put forward to recognize RLNG tariffs separately or a middle ground i.e. WACOG implementation. The stock is currently trading at FY23/24F P/E of 3.3/1.7x while our TP of PkR198/sh provides a total return of 78%.</w:t>
      </w:r>
    </w:p>
    <w:p>
      <w:pPr>
        <w:spacing w:after="0" w:line="132" w:lineRule="exact"/>
        <w:rPr>
          <w:sz w:val="20"/>
          <w:szCs w:val="20"/>
          <w:color w:val="auto"/>
        </w:rPr>
      </w:pPr>
    </w:p>
    <w:p>
      <w:pPr>
        <w:jc w:val="both"/>
        <w:spacing w:after="0"/>
        <w:rPr>
          <w:sz w:val="20"/>
          <w:szCs w:val="20"/>
          <w:color w:val="auto"/>
        </w:rPr>
      </w:pPr>
      <w:r>
        <w:rPr>
          <w:rFonts w:ascii="Calibri" w:cs="Calibri" w:eastAsia="Calibri" w:hAnsi="Calibri"/>
          <w:sz w:val="18"/>
          <w:szCs w:val="18"/>
          <w:b w:val="1"/>
          <w:bCs w:val="1"/>
          <w:color w:val="0C2D73"/>
        </w:rPr>
        <w:t>Outlook:</w:t>
      </w:r>
      <w:r>
        <w:rPr>
          <w:rFonts w:ascii="Calibri" w:cs="Calibri" w:eastAsia="Calibri" w:hAnsi="Calibri"/>
          <w:sz w:val="18"/>
          <w:szCs w:val="18"/>
          <w:color w:val="000000"/>
        </w:rPr>
        <w:t xml:space="preserve"> Implementation of the circular debt relief remains the need of the hour, either through sector overhauls or a one-off payouts through the federal revenue kitty. More recently, Govt’ recently came forth with a proposition to address the short term liquidity needs of the energy companies, by initiating a state owned payout which was to be directed through the gas utilities towards the two E&amp;P companies. If implemented correctly, this could provide much-needed liquidity to the companies. With regards to PSO, there is presently a proposal in works to settle the OMC’s receivables through equity transfer of Guddu and Nandipur power plants. We believe the state-owned OMC would only be transferring its woes from gas circular debt to power circular debt if it takes forth these GoP owned plants as its investments, assuming the power from these plants are to continue being sold to the country’s highly inefficient DISCO net-work. Overall, the gas/power circular debt continues to haunt the sustainability of the country’s vital energy chain and requires long-term policy measures to arrest accumulation going forward.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-481965</wp:posOffset>
            </wp:positionH>
            <wp:positionV relativeFrom="paragraph">
              <wp:posOffset>2850515</wp:posOffset>
            </wp:positionV>
            <wp:extent cx="7772400" cy="2870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7772400" cy="2870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3" w:lineRule="exact"/>
        <w:rPr>
          <w:sz w:val="20"/>
          <w:szCs w:val="20"/>
          <w:color w:val="auto"/>
        </w:rPr>
      </w:pPr>
    </w:p>
    <w:p>
      <w:pPr>
        <w:ind w:left="20"/>
        <w:spacing w:after="0"/>
        <w:rPr>
          <w:sz w:val="20"/>
          <w:szCs w:val="20"/>
          <w:color w:val="auto"/>
        </w:rPr>
      </w:pPr>
      <w:r>
        <w:rPr>
          <w:rFonts w:ascii="Calibri" w:cs="Calibri" w:eastAsia="Calibri" w:hAnsi="Calibri"/>
          <w:sz w:val="14"/>
          <w:szCs w:val="14"/>
          <w:b w:val="1"/>
          <w:bCs w:val="1"/>
          <w:i w:val="1"/>
          <w:iCs w:val="1"/>
          <w:color w:val="0C2D73"/>
        </w:rPr>
        <w:t>OGDC</w:t>
      </w:r>
      <w:r>
        <w:rPr>
          <w:rFonts w:ascii="Calibri" w:cs="Calibri" w:eastAsia="Calibri" w:hAnsi="Calibri"/>
          <w:sz w:val="14"/>
          <w:szCs w:val="14"/>
          <w:b w:val="1"/>
          <w:bCs w:val="1"/>
          <w:color w:val="0C2D73"/>
        </w:rPr>
        <w:t xml:space="preserve"> | </w:t>
      </w:r>
      <w:r>
        <w:rPr>
          <w:rFonts w:ascii="Calibri" w:cs="Calibri" w:eastAsia="Calibri" w:hAnsi="Calibri"/>
          <w:sz w:val="14"/>
          <w:szCs w:val="14"/>
          <w:b w:val="1"/>
          <w:bCs w:val="1"/>
          <w:i w:val="1"/>
          <w:iCs w:val="1"/>
          <w:color w:val="0C2D73"/>
        </w:rPr>
        <w:t>PPL - declining hydrocarbon production (PkRmn)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46990</wp:posOffset>
                </wp:positionV>
                <wp:extent cx="212026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3.7pt" to="166.9pt,3.7pt" o:allowincell="f" strokecolor="#595959" strokeweight="0.25pt"/>
            </w:pict>
          </mc:Fallback>
        </mc:AlternateContent>
      </w:r>
    </w:p>
    <w:p>
      <w:pPr>
        <w:spacing w:after="0" w:line="198" w:lineRule="exact"/>
        <w:rPr>
          <w:sz w:val="20"/>
          <w:szCs w:val="20"/>
          <w:color w:val="auto"/>
        </w:rPr>
      </w:pPr>
    </w:p>
    <w:tbl>
      <w:tblPr>
        <w:tblLayout w:type="fixed"/>
        <w:tblInd w:w="340" w:type="dxa"/>
        <w:tblCellMar>
          <w:top w:w="0" w:type="dxa"/>
          <w:left w:w="0" w:type="dxa"/>
          <w:bottom w:w="0" w:type="dxa"/>
          <w:right w:w="0" w:type="dxa"/>
        </w:tblCellMar>
      </w:tblPr>
      <w:tr>
        <w:trPr>
          <w:trHeight w:val="103"/>
        </w:trPr>
        <w:tc>
          <w:tcPr>
            <w:tcW w:w="700" w:type="dxa"/>
            <w:vAlign w:val="bottom"/>
          </w:tcPr>
          <w:p>
            <w:pPr>
              <w:jc w:val="right"/>
              <w:ind w:right="376"/>
              <w:spacing w:after="0"/>
              <w:rPr>
                <w:sz w:val="20"/>
                <w:szCs w:val="20"/>
                <w:color w:val="auto"/>
              </w:rPr>
            </w:pPr>
            <w:r>
              <w:rPr>
                <w:rFonts w:ascii="Arial" w:cs="Arial" w:eastAsia="Arial" w:hAnsi="Arial"/>
                <w:sz w:val="9"/>
                <w:szCs w:val="9"/>
                <w:color w:val="auto"/>
                <w:w w:val="94"/>
              </w:rPr>
              <w:t>18,000</w:t>
            </w:r>
          </w:p>
        </w:tc>
        <w:tc>
          <w:tcPr>
            <w:tcW w:w="360" w:type="dxa"/>
            <w:vAlign w:val="bottom"/>
          </w:tcPr>
          <w:p>
            <w:pPr>
              <w:spacing w:after="0"/>
              <w:rPr>
                <w:sz w:val="8"/>
                <w:szCs w:val="8"/>
                <w:color w:val="auto"/>
              </w:rPr>
            </w:pPr>
          </w:p>
        </w:tc>
        <w:tc>
          <w:tcPr>
            <w:tcW w:w="340" w:type="dxa"/>
            <w:vAlign w:val="bottom"/>
          </w:tcPr>
          <w:p>
            <w:pPr>
              <w:spacing w:after="0"/>
              <w:rPr>
                <w:sz w:val="8"/>
                <w:szCs w:val="8"/>
                <w:color w:val="auto"/>
              </w:rPr>
            </w:pPr>
          </w:p>
        </w:tc>
        <w:tc>
          <w:tcPr>
            <w:tcW w:w="340" w:type="dxa"/>
            <w:vAlign w:val="bottom"/>
          </w:tcPr>
          <w:p>
            <w:pPr>
              <w:spacing w:after="0"/>
              <w:rPr>
                <w:sz w:val="8"/>
                <w:szCs w:val="8"/>
                <w:color w:val="auto"/>
              </w:rPr>
            </w:pPr>
          </w:p>
        </w:tc>
        <w:tc>
          <w:tcPr>
            <w:tcW w:w="360" w:type="dxa"/>
            <w:vAlign w:val="bottom"/>
          </w:tcPr>
          <w:p>
            <w:pPr>
              <w:spacing w:after="0"/>
              <w:rPr>
                <w:sz w:val="8"/>
                <w:szCs w:val="8"/>
                <w:color w:val="auto"/>
              </w:rPr>
            </w:pPr>
          </w:p>
        </w:tc>
        <w:tc>
          <w:tcPr>
            <w:tcW w:w="660" w:type="dxa"/>
            <w:vAlign w:val="bottom"/>
          </w:tcPr>
          <w:p>
            <w:pPr>
              <w:ind w:left="420"/>
              <w:spacing w:after="0"/>
              <w:rPr>
                <w:sz w:val="20"/>
                <w:szCs w:val="20"/>
                <w:color w:val="auto"/>
              </w:rPr>
            </w:pPr>
            <w:r>
              <w:rPr>
                <w:rFonts w:ascii="Arial" w:cs="Arial" w:eastAsia="Arial" w:hAnsi="Arial"/>
                <w:sz w:val="9"/>
                <w:szCs w:val="9"/>
                <w:color w:val="auto"/>
                <w:w w:val="88"/>
              </w:rPr>
              <w:t>1,200</w:t>
            </w:r>
          </w:p>
        </w:tc>
        <w:tc>
          <w:tcPr>
            <w:tcW w:w="0" w:type="dxa"/>
            <w:vAlign w:val="bottom"/>
          </w:tcPr>
          <w:p>
            <w:pPr>
              <w:spacing w:after="0"/>
              <w:rPr>
                <w:sz w:val="1"/>
                <w:szCs w:val="1"/>
                <w:color w:val="auto"/>
              </w:rPr>
            </w:pPr>
          </w:p>
        </w:tc>
      </w:tr>
      <w:tr>
        <w:trPr>
          <w:trHeight w:val="180"/>
        </w:trPr>
        <w:tc>
          <w:tcPr>
            <w:tcW w:w="700" w:type="dxa"/>
            <w:vAlign w:val="bottom"/>
          </w:tcPr>
          <w:p>
            <w:pPr>
              <w:jc w:val="right"/>
              <w:ind w:right="376"/>
              <w:spacing w:after="0"/>
              <w:rPr>
                <w:sz w:val="20"/>
                <w:szCs w:val="20"/>
                <w:color w:val="auto"/>
              </w:rPr>
            </w:pPr>
            <w:r>
              <w:rPr>
                <w:rFonts w:ascii="Arial" w:cs="Arial" w:eastAsia="Arial" w:hAnsi="Arial"/>
                <w:sz w:val="9"/>
                <w:szCs w:val="9"/>
                <w:color w:val="auto"/>
                <w:w w:val="94"/>
              </w:rPr>
              <w:t>16,000</w:t>
            </w: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660" w:type="dxa"/>
            <w:vAlign w:val="bottom"/>
            <w:vMerge w:val="restart"/>
          </w:tcPr>
          <w:p>
            <w:pPr>
              <w:ind w:left="420"/>
              <w:spacing w:after="0"/>
              <w:rPr>
                <w:sz w:val="20"/>
                <w:szCs w:val="20"/>
                <w:color w:val="auto"/>
              </w:rPr>
            </w:pPr>
            <w:r>
              <w:rPr>
                <w:rFonts w:ascii="Arial" w:cs="Arial" w:eastAsia="Arial" w:hAnsi="Arial"/>
                <w:sz w:val="9"/>
                <w:szCs w:val="9"/>
                <w:color w:val="auto"/>
                <w:w w:val="88"/>
              </w:rPr>
              <w:t>1,000</w:t>
            </w:r>
          </w:p>
        </w:tc>
        <w:tc>
          <w:tcPr>
            <w:tcW w:w="0" w:type="dxa"/>
            <w:vAlign w:val="bottom"/>
          </w:tcPr>
          <w:p>
            <w:pPr>
              <w:spacing w:after="0"/>
              <w:rPr>
                <w:sz w:val="1"/>
                <w:szCs w:val="1"/>
                <w:color w:val="auto"/>
              </w:rPr>
            </w:pPr>
          </w:p>
        </w:tc>
      </w:tr>
      <w:tr>
        <w:trPr>
          <w:trHeight w:val="90"/>
        </w:trPr>
        <w:tc>
          <w:tcPr>
            <w:tcW w:w="700" w:type="dxa"/>
            <w:vAlign w:val="bottom"/>
            <w:vMerge w:val="restart"/>
          </w:tcPr>
          <w:p>
            <w:pPr>
              <w:jc w:val="right"/>
              <w:ind w:right="376"/>
              <w:spacing w:after="0"/>
              <w:rPr>
                <w:sz w:val="20"/>
                <w:szCs w:val="20"/>
                <w:color w:val="auto"/>
              </w:rPr>
            </w:pPr>
            <w:r>
              <w:rPr>
                <w:rFonts w:ascii="Arial" w:cs="Arial" w:eastAsia="Arial" w:hAnsi="Arial"/>
                <w:sz w:val="9"/>
                <w:szCs w:val="9"/>
                <w:color w:val="auto"/>
                <w:w w:val="94"/>
              </w:rPr>
              <w:t>14,000</w:t>
            </w: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700" w:type="dxa"/>
            <w:vAlign w:val="bottom"/>
            <w:vMerge w:val="continue"/>
          </w:tcPr>
          <w:p>
            <w:pPr>
              <w:spacing w:after="0"/>
              <w:rPr>
                <w:sz w:val="7"/>
                <w:szCs w:val="7"/>
                <w:color w:val="auto"/>
              </w:rPr>
            </w:pP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0"/>
        </w:trPr>
        <w:tc>
          <w:tcPr>
            <w:tcW w:w="700" w:type="dxa"/>
            <w:vAlign w:val="bottom"/>
          </w:tcPr>
          <w:p>
            <w:pPr>
              <w:jc w:val="right"/>
              <w:ind w:right="376"/>
              <w:spacing w:after="0"/>
              <w:rPr>
                <w:sz w:val="20"/>
                <w:szCs w:val="20"/>
                <w:color w:val="auto"/>
              </w:rPr>
            </w:pPr>
            <w:r>
              <w:rPr>
                <w:rFonts w:ascii="Arial" w:cs="Arial" w:eastAsia="Arial" w:hAnsi="Arial"/>
                <w:sz w:val="9"/>
                <w:szCs w:val="9"/>
                <w:color w:val="auto"/>
                <w:w w:val="94"/>
              </w:rPr>
              <w:t>12,000</w:t>
            </w: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660" w:type="dxa"/>
            <w:vAlign w:val="bottom"/>
          </w:tcPr>
          <w:p>
            <w:pPr>
              <w:ind w:left="420"/>
              <w:spacing w:after="0"/>
              <w:rPr>
                <w:sz w:val="20"/>
                <w:szCs w:val="20"/>
                <w:color w:val="auto"/>
              </w:rPr>
            </w:pPr>
            <w:r>
              <w:rPr>
                <w:rFonts w:ascii="Arial" w:cs="Arial" w:eastAsia="Arial" w:hAnsi="Arial"/>
                <w:sz w:val="9"/>
                <w:szCs w:val="9"/>
                <w:color w:val="auto"/>
              </w:rPr>
              <w:t>800</w:t>
            </w:r>
          </w:p>
        </w:tc>
        <w:tc>
          <w:tcPr>
            <w:tcW w:w="0" w:type="dxa"/>
            <w:vAlign w:val="bottom"/>
          </w:tcPr>
          <w:p>
            <w:pPr>
              <w:spacing w:after="0"/>
              <w:rPr>
                <w:sz w:val="1"/>
                <w:szCs w:val="1"/>
                <w:color w:val="auto"/>
              </w:rPr>
            </w:pPr>
          </w:p>
        </w:tc>
      </w:tr>
      <w:tr>
        <w:trPr>
          <w:trHeight w:val="180"/>
        </w:trPr>
        <w:tc>
          <w:tcPr>
            <w:tcW w:w="700" w:type="dxa"/>
            <w:vAlign w:val="bottom"/>
          </w:tcPr>
          <w:p>
            <w:pPr>
              <w:jc w:val="right"/>
              <w:ind w:right="376"/>
              <w:spacing w:after="0"/>
              <w:rPr>
                <w:sz w:val="20"/>
                <w:szCs w:val="20"/>
                <w:color w:val="auto"/>
              </w:rPr>
            </w:pPr>
            <w:r>
              <w:rPr>
                <w:rFonts w:ascii="Arial" w:cs="Arial" w:eastAsia="Arial" w:hAnsi="Arial"/>
                <w:sz w:val="9"/>
                <w:szCs w:val="9"/>
                <w:color w:val="auto"/>
                <w:w w:val="94"/>
              </w:rPr>
              <w:t>10,000</w:t>
            </w: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660" w:type="dxa"/>
            <w:vAlign w:val="bottom"/>
            <w:vMerge w:val="restart"/>
          </w:tcPr>
          <w:p>
            <w:pPr>
              <w:ind w:left="420"/>
              <w:spacing w:after="0"/>
              <w:rPr>
                <w:sz w:val="20"/>
                <w:szCs w:val="20"/>
                <w:color w:val="auto"/>
              </w:rPr>
            </w:pPr>
            <w:r>
              <w:rPr>
                <w:rFonts w:ascii="Arial" w:cs="Arial" w:eastAsia="Arial" w:hAnsi="Arial"/>
                <w:sz w:val="9"/>
                <w:szCs w:val="9"/>
                <w:color w:val="auto"/>
              </w:rPr>
              <w:t>600</w:t>
            </w:r>
          </w:p>
        </w:tc>
        <w:tc>
          <w:tcPr>
            <w:tcW w:w="0" w:type="dxa"/>
            <w:vAlign w:val="bottom"/>
          </w:tcPr>
          <w:p>
            <w:pPr>
              <w:spacing w:after="0"/>
              <w:rPr>
                <w:sz w:val="1"/>
                <w:szCs w:val="1"/>
                <w:color w:val="auto"/>
              </w:rPr>
            </w:pPr>
          </w:p>
        </w:tc>
      </w:tr>
      <w:tr>
        <w:trPr>
          <w:trHeight w:val="90"/>
        </w:trPr>
        <w:tc>
          <w:tcPr>
            <w:tcW w:w="700" w:type="dxa"/>
            <w:vAlign w:val="bottom"/>
            <w:vMerge w:val="restart"/>
          </w:tcPr>
          <w:p>
            <w:pPr>
              <w:jc w:val="right"/>
              <w:ind w:right="376"/>
              <w:spacing w:after="0"/>
              <w:rPr>
                <w:sz w:val="20"/>
                <w:szCs w:val="20"/>
                <w:color w:val="auto"/>
              </w:rPr>
            </w:pPr>
            <w:r>
              <w:rPr>
                <w:rFonts w:ascii="Arial" w:cs="Arial" w:eastAsia="Arial" w:hAnsi="Arial"/>
                <w:sz w:val="9"/>
                <w:szCs w:val="9"/>
                <w:color w:val="auto"/>
              </w:rPr>
              <w:t>8,000</w:t>
            </w: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700" w:type="dxa"/>
            <w:vAlign w:val="bottom"/>
            <w:vMerge w:val="continue"/>
          </w:tcPr>
          <w:p>
            <w:pPr>
              <w:spacing w:after="0"/>
              <w:rPr>
                <w:sz w:val="7"/>
                <w:szCs w:val="7"/>
                <w:color w:val="auto"/>
              </w:rPr>
            </w:pP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0"/>
        </w:trPr>
        <w:tc>
          <w:tcPr>
            <w:tcW w:w="700" w:type="dxa"/>
            <w:vAlign w:val="bottom"/>
          </w:tcPr>
          <w:p>
            <w:pPr>
              <w:jc w:val="right"/>
              <w:ind w:right="376"/>
              <w:spacing w:after="0"/>
              <w:rPr>
                <w:sz w:val="20"/>
                <w:szCs w:val="20"/>
                <w:color w:val="auto"/>
              </w:rPr>
            </w:pPr>
            <w:r>
              <w:rPr>
                <w:rFonts w:ascii="Arial" w:cs="Arial" w:eastAsia="Arial" w:hAnsi="Arial"/>
                <w:sz w:val="9"/>
                <w:szCs w:val="9"/>
                <w:color w:val="auto"/>
              </w:rPr>
              <w:t>6,000</w:t>
            </w: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660" w:type="dxa"/>
            <w:vAlign w:val="bottom"/>
          </w:tcPr>
          <w:p>
            <w:pPr>
              <w:ind w:left="420"/>
              <w:spacing w:after="0"/>
              <w:rPr>
                <w:sz w:val="20"/>
                <w:szCs w:val="20"/>
                <w:color w:val="auto"/>
              </w:rPr>
            </w:pPr>
            <w:r>
              <w:rPr>
                <w:rFonts w:ascii="Arial" w:cs="Arial" w:eastAsia="Arial" w:hAnsi="Arial"/>
                <w:sz w:val="9"/>
                <w:szCs w:val="9"/>
                <w:color w:val="auto"/>
              </w:rPr>
              <w:t>400</w:t>
            </w:r>
          </w:p>
        </w:tc>
        <w:tc>
          <w:tcPr>
            <w:tcW w:w="0" w:type="dxa"/>
            <w:vAlign w:val="bottom"/>
          </w:tcPr>
          <w:p>
            <w:pPr>
              <w:spacing w:after="0"/>
              <w:rPr>
                <w:sz w:val="1"/>
                <w:szCs w:val="1"/>
                <w:color w:val="auto"/>
              </w:rPr>
            </w:pPr>
          </w:p>
        </w:tc>
      </w:tr>
      <w:tr>
        <w:trPr>
          <w:trHeight w:val="180"/>
        </w:trPr>
        <w:tc>
          <w:tcPr>
            <w:tcW w:w="700" w:type="dxa"/>
            <w:vAlign w:val="bottom"/>
          </w:tcPr>
          <w:p>
            <w:pPr>
              <w:jc w:val="right"/>
              <w:ind w:right="376"/>
              <w:spacing w:after="0"/>
              <w:rPr>
                <w:sz w:val="20"/>
                <w:szCs w:val="20"/>
                <w:color w:val="auto"/>
              </w:rPr>
            </w:pPr>
            <w:r>
              <w:rPr>
                <w:rFonts w:ascii="Arial" w:cs="Arial" w:eastAsia="Arial" w:hAnsi="Arial"/>
                <w:sz w:val="9"/>
                <w:szCs w:val="9"/>
                <w:color w:val="auto"/>
              </w:rPr>
              <w:t>4,000</w:t>
            </w: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660" w:type="dxa"/>
            <w:vAlign w:val="bottom"/>
            <w:vMerge w:val="restart"/>
          </w:tcPr>
          <w:p>
            <w:pPr>
              <w:ind w:left="420"/>
              <w:spacing w:after="0"/>
              <w:rPr>
                <w:sz w:val="20"/>
                <w:szCs w:val="20"/>
                <w:color w:val="auto"/>
              </w:rPr>
            </w:pPr>
            <w:r>
              <w:rPr>
                <w:rFonts w:ascii="Arial" w:cs="Arial" w:eastAsia="Arial" w:hAnsi="Arial"/>
                <w:sz w:val="9"/>
                <w:szCs w:val="9"/>
                <w:color w:val="auto"/>
              </w:rPr>
              <w:t>200</w:t>
            </w:r>
          </w:p>
        </w:tc>
        <w:tc>
          <w:tcPr>
            <w:tcW w:w="0" w:type="dxa"/>
            <w:vAlign w:val="bottom"/>
          </w:tcPr>
          <w:p>
            <w:pPr>
              <w:spacing w:after="0"/>
              <w:rPr>
                <w:sz w:val="1"/>
                <w:szCs w:val="1"/>
                <w:color w:val="auto"/>
              </w:rPr>
            </w:pPr>
          </w:p>
        </w:tc>
      </w:tr>
      <w:tr>
        <w:trPr>
          <w:trHeight w:val="90"/>
        </w:trPr>
        <w:tc>
          <w:tcPr>
            <w:tcW w:w="700" w:type="dxa"/>
            <w:vAlign w:val="bottom"/>
            <w:vMerge w:val="restart"/>
          </w:tcPr>
          <w:p>
            <w:pPr>
              <w:jc w:val="right"/>
              <w:ind w:right="376"/>
              <w:spacing w:after="0"/>
              <w:rPr>
                <w:sz w:val="20"/>
                <w:szCs w:val="20"/>
                <w:color w:val="auto"/>
              </w:rPr>
            </w:pPr>
            <w:r>
              <w:rPr>
                <w:rFonts w:ascii="Arial" w:cs="Arial" w:eastAsia="Arial" w:hAnsi="Arial"/>
                <w:sz w:val="9"/>
                <w:szCs w:val="9"/>
                <w:color w:val="auto"/>
              </w:rPr>
              <w:t>2,000</w:t>
            </w: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700" w:type="dxa"/>
            <w:vAlign w:val="bottom"/>
            <w:vMerge w:val="continue"/>
          </w:tcPr>
          <w:p>
            <w:pPr>
              <w:spacing w:after="0"/>
              <w:rPr>
                <w:sz w:val="7"/>
                <w:szCs w:val="7"/>
                <w:color w:val="auto"/>
              </w:rPr>
            </w:pP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360" w:type="dxa"/>
            <w:vAlign w:val="bottom"/>
          </w:tcPr>
          <w:p>
            <w:pPr>
              <w:spacing w:after="0"/>
              <w:rPr>
                <w:sz w:val="7"/>
                <w:szCs w:val="7"/>
                <w:color w:val="auto"/>
              </w:rPr>
            </w:pPr>
          </w:p>
        </w:tc>
        <w:tc>
          <w:tcPr>
            <w:tcW w:w="6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0"/>
        </w:trPr>
        <w:tc>
          <w:tcPr>
            <w:tcW w:w="700" w:type="dxa"/>
            <w:vAlign w:val="bottom"/>
          </w:tcPr>
          <w:p>
            <w:pPr>
              <w:jc w:val="right"/>
              <w:ind w:right="376"/>
              <w:spacing w:after="0"/>
              <w:rPr>
                <w:sz w:val="20"/>
                <w:szCs w:val="20"/>
                <w:color w:val="auto"/>
              </w:rPr>
            </w:pPr>
            <w:r>
              <w:rPr>
                <w:rFonts w:ascii="Arial" w:cs="Arial" w:eastAsia="Arial" w:hAnsi="Arial"/>
                <w:sz w:val="9"/>
                <w:szCs w:val="9"/>
                <w:color w:val="auto"/>
              </w:rPr>
              <w:t>0</w:t>
            </w:r>
          </w:p>
        </w:tc>
        <w:tc>
          <w:tcPr>
            <w:tcW w:w="36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660" w:type="dxa"/>
            <w:vAlign w:val="bottom"/>
          </w:tcPr>
          <w:p>
            <w:pPr>
              <w:ind w:left="420"/>
              <w:spacing w:after="0"/>
              <w:rPr>
                <w:sz w:val="20"/>
                <w:szCs w:val="20"/>
                <w:color w:val="auto"/>
              </w:rPr>
            </w:pPr>
            <w:r>
              <w:rPr>
                <w:rFonts w:ascii="Arial" w:cs="Arial" w:eastAsia="Arial" w:hAnsi="Arial"/>
                <w:sz w:val="9"/>
                <w:szCs w:val="9"/>
                <w:color w:val="auto"/>
              </w:rPr>
              <w:t>0</w:t>
            </w:r>
          </w:p>
        </w:tc>
        <w:tc>
          <w:tcPr>
            <w:tcW w:w="0" w:type="dxa"/>
            <w:vAlign w:val="bottom"/>
          </w:tcPr>
          <w:p>
            <w:pPr>
              <w:spacing w:after="0"/>
              <w:rPr>
                <w:sz w:val="1"/>
                <w:szCs w:val="1"/>
                <w:color w:val="auto"/>
              </w:rPr>
            </w:pPr>
          </w:p>
        </w:tc>
      </w:tr>
      <w:tr>
        <w:trPr>
          <w:trHeight w:val="106"/>
        </w:trPr>
        <w:tc>
          <w:tcPr>
            <w:tcW w:w="700" w:type="dxa"/>
            <w:vAlign w:val="bottom"/>
          </w:tcPr>
          <w:p>
            <w:pPr>
              <w:jc w:val="right"/>
              <w:ind w:right="16"/>
              <w:spacing w:after="0"/>
              <w:rPr>
                <w:sz w:val="20"/>
                <w:szCs w:val="20"/>
                <w:color w:val="auto"/>
              </w:rPr>
            </w:pPr>
            <w:r>
              <w:rPr>
                <w:rFonts w:ascii="Arial" w:cs="Arial" w:eastAsia="Arial" w:hAnsi="Arial"/>
                <w:sz w:val="9"/>
                <w:szCs w:val="9"/>
                <w:color w:val="auto"/>
              </w:rPr>
              <w:t>FY17</w:t>
            </w:r>
          </w:p>
        </w:tc>
        <w:tc>
          <w:tcPr>
            <w:tcW w:w="360" w:type="dxa"/>
            <w:vAlign w:val="bottom"/>
          </w:tcPr>
          <w:p>
            <w:pPr>
              <w:ind w:left="80"/>
              <w:spacing w:after="0"/>
              <w:rPr>
                <w:sz w:val="20"/>
                <w:szCs w:val="20"/>
                <w:color w:val="auto"/>
              </w:rPr>
            </w:pPr>
            <w:r>
              <w:rPr>
                <w:rFonts w:ascii="Arial" w:cs="Arial" w:eastAsia="Arial" w:hAnsi="Arial"/>
                <w:sz w:val="9"/>
                <w:szCs w:val="9"/>
                <w:color w:val="auto"/>
              </w:rPr>
              <w:t>FY18</w:t>
            </w:r>
          </w:p>
        </w:tc>
        <w:tc>
          <w:tcPr>
            <w:tcW w:w="340" w:type="dxa"/>
            <w:vAlign w:val="bottom"/>
          </w:tcPr>
          <w:p>
            <w:pPr>
              <w:ind w:left="60"/>
              <w:spacing w:after="0"/>
              <w:rPr>
                <w:sz w:val="20"/>
                <w:szCs w:val="20"/>
                <w:color w:val="auto"/>
              </w:rPr>
            </w:pPr>
            <w:r>
              <w:rPr>
                <w:rFonts w:ascii="Arial" w:cs="Arial" w:eastAsia="Arial" w:hAnsi="Arial"/>
                <w:sz w:val="9"/>
                <w:szCs w:val="9"/>
                <w:color w:val="auto"/>
              </w:rPr>
              <w:t>FY19</w:t>
            </w:r>
          </w:p>
        </w:tc>
        <w:tc>
          <w:tcPr>
            <w:tcW w:w="340" w:type="dxa"/>
            <w:vAlign w:val="bottom"/>
          </w:tcPr>
          <w:p>
            <w:pPr>
              <w:ind w:left="60"/>
              <w:spacing w:after="0"/>
              <w:rPr>
                <w:sz w:val="20"/>
                <w:szCs w:val="20"/>
                <w:color w:val="auto"/>
              </w:rPr>
            </w:pPr>
            <w:r>
              <w:rPr>
                <w:rFonts w:ascii="Arial" w:cs="Arial" w:eastAsia="Arial" w:hAnsi="Arial"/>
                <w:sz w:val="9"/>
                <w:szCs w:val="9"/>
                <w:color w:val="auto"/>
              </w:rPr>
              <w:t>FY20</w:t>
            </w:r>
          </w:p>
        </w:tc>
        <w:tc>
          <w:tcPr>
            <w:tcW w:w="360" w:type="dxa"/>
            <w:vAlign w:val="bottom"/>
          </w:tcPr>
          <w:p>
            <w:pPr>
              <w:ind w:left="80"/>
              <w:spacing w:after="0"/>
              <w:rPr>
                <w:sz w:val="20"/>
                <w:szCs w:val="20"/>
                <w:color w:val="auto"/>
              </w:rPr>
            </w:pPr>
            <w:r>
              <w:rPr>
                <w:rFonts w:ascii="Arial" w:cs="Arial" w:eastAsia="Arial" w:hAnsi="Arial"/>
                <w:sz w:val="9"/>
                <w:szCs w:val="9"/>
                <w:color w:val="auto"/>
              </w:rPr>
              <w:t>FY21</w:t>
            </w:r>
          </w:p>
        </w:tc>
        <w:tc>
          <w:tcPr>
            <w:tcW w:w="660" w:type="dxa"/>
            <w:vAlign w:val="bottom"/>
          </w:tcPr>
          <w:p>
            <w:pPr>
              <w:ind w:left="60"/>
              <w:spacing w:after="0"/>
              <w:rPr>
                <w:sz w:val="20"/>
                <w:szCs w:val="20"/>
                <w:color w:val="auto"/>
              </w:rPr>
            </w:pPr>
            <w:r>
              <w:rPr>
                <w:rFonts w:ascii="Arial" w:cs="Arial" w:eastAsia="Arial" w:hAnsi="Arial"/>
                <w:sz w:val="9"/>
                <w:szCs w:val="9"/>
                <w:color w:val="auto"/>
              </w:rPr>
              <w:t>FY22</w:t>
            </w:r>
          </w:p>
        </w:tc>
        <w:tc>
          <w:tcPr>
            <w:tcW w:w="0" w:type="dxa"/>
            <w:vAlign w:val="bottom"/>
          </w:tcPr>
          <w:p>
            <w:pPr>
              <w:spacing w:after="0"/>
              <w:rPr>
                <w:sz w:val="1"/>
                <w:szCs w:val="1"/>
                <w:color w:val="auto"/>
              </w:rPr>
            </w:pPr>
          </w:p>
        </w:tc>
      </w:tr>
      <w:tr>
        <w:trPr>
          <w:trHeight w:val="186"/>
        </w:trPr>
        <w:tc>
          <w:tcPr>
            <w:tcW w:w="1060" w:type="dxa"/>
            <w:vAlign w:val="bottom"/>
            <w:gridSpan w:val="2"/>
          </w:tcPr>
          <w:p>
            <w:pPr>
              <w:ind w:left="300"/>
              <w:spacing w:after="0"/>
              <w:rPr>
                <w:sz w:val="20"/>
                <w:szCs w:val="20"/>
                <w:color w:val="auto"/>
              </w:rPr>
            </w:pPr>
            <w:r>
              <w:rPr>
                <w:rFonts w:ascii="Arial" w:cs="Arial" w:eastAsia="Arial" w:hAnsi="Arial"/>
                <w:sz w:val="8"/>
                <w:szCs w:val="8"/>
                <w:color w:val="auto"/>
              </w:rPr>
              <w:t>PPL - Oil (bpd)</w:t>
            </w:r>
          </w:p>
        </w:tc>
        <w:tc>
          <w:tcPr>
            <w:tcW w:w="340" w:type="dxa"/>
            <w:vAlign w:val="bottom"/>
          </w:tcPr>
          <w:p>
            <w:pPr>
              <w:spacing w:after="0"/>
              <w:rPr>
                <w:sz w:val="16"/>
                <w:szCs w:val="16"/>
                <w:color w:val="auto"/>
              </w:rPr>
            </w:pPr>
          </w:p>
        </w:tc>
        <w:tc>
          <w:tcPr>
            <w:tcW w:w="1340" w:type="dxa"/>
            <w:vAlign w:val="bottom"/>
            <w:gridSpan w:val="3"/>
          </w:tcPr>
          <w:p>
            <w:pPr>
              <w:ind w:left="240"/>
              <w:spacing w:after="0"/>
              <w:rPr>
                <w:sz w:val="20"/>
                <w:szCs w:val="20"/>
                <w:color w:val="auto"/>
              </w:rPr>
            </w:pPr>
            <w:r>
              <w:rPr>
                <w:rFonts w:ascii="Arial" w:cs="Arial" w:eastAsia="Arial" w:hAnsi="Arial"/>
                <w:sz w:val="8"/>
                <w:szCs w:val="8"/>
                <w:color w:val="auto"/>
              </w:rPr>
              <w:t>OGDC - Oil (bpd)</w:t>
            </w:r>
          </w:p>
        </w:tc>
        <w:tc>
          <w:tcPr>
            <w:tcW w:w="0" w:type="dxa"/>
            <w:vAlign w:val="bottom"/>
          </w:tcPr>
          <w:p>
            <w:pPr>
              <w:spacing w:after="0"/>
              <w:rPr>
                <w:sz w:val="1"/>
                <w:szCs w:val="1"/>
                <w:color w:val="auto"/>
              </w:rPr>
            </w:pPr>
          </w:p>
        </w:tc>
      </w:tr>
      <w:tr>
        <w:trPr>
          <w:trHeight w:val="231"/>
        </w:trPr>
        <w:tc>
          <w:tcPr>
            <w:tcW w:w="1400" w:type="dxa"/>
            <w:vAlign w:val="bottom"/>
            <w:gridSpan w:val="3"/>
          </w:tcPr>
          <w:p>
            <w:pPr>
              <w:ind w:left="300"/>
              <w:spacing w:after="0"/>
              <w:rPr>
                <w:sz w:val="20"/>
                <w:szCs w:val="20"/>
                <w:color w:val="auto"/>
              </w:rPr>
            </w:pPr>
            <w:r>
              <w:rPr>
                <w:rFonts w:ascii="Arial" w:cs="Arial" w:eastAsia="Arial" w:hAnsi="Arial"/>
                <w:sz w:val="8"/>
                <w:szCs w:val="8"/>
                <w:color w:val="auto"/>
              </w:rPr>
              <w:t>OGDC - Gas (MMcf) - RHS</w:t>
            </w:r>
          </w:p>
        </w:tc>
        <w:tc>
          <w:tcPr>
            <w:tcW w:w="1340" w:type="dxa"/>
            <w:vAlign w:val="bottom"/>
            <w:gridSpan w:val="3"/>
          </w:tcPr>
          <w:p>
            <w:pPr>
              <w:ind w:left="240"/>
              <w:spacing w:after="0"/>
              <w:rPr>
                <w:sz w:val="20"/>
                <w:szCs w:val="20"/>
                <w:color w:val="auto"/>
              </w:rPr>
            </w:pPr>
            <w:r>
              <w:rPr>
                <w:rFonts w:ascii="Arial" w:cs="Arial" w:eastAsia="Arial" w:hAnsi="Arial"/>
                <w:sz w:val="8"/>
                <w:szCs w:val="8"/>
                <w:color w:val="auto"/>
              </w:rPr>
              <w:t>PPL - Gas (MMcf) - RHS</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147955</wp:posOffset>
                </wp:positionV>
                <wp:extent cx="21209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900"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11.65pt" to="167.35pt,11.65pt" o:allowincell="f" strokecolor="#595959" strokeweight="0.25pt"/>
            </w:pict>
          </mc:Fallback>
        </mc:AlternateContent>
        <w:drawing>
          <wp:anchor simplePos="0" relativeHeight="251657728" behindDoc="1" locked="0" layoutInCell="0" allowOverlap="1">
            <wp:simplePos x="0" y="0"/>
            <wp:positionH relativeFrom="column">
              <wp:posOffset>441325</wp:posOffset>
            </wp:positionH>
            <wp:positionV relativeFrom="paragraph">
              <wp:posOffset>-1294765</wp:posOffset>
            </wp:positionV>
            <wp:extent cx="1326515" cy="9359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1326515" cy="935990"/>
                    </a:xfrm>
                    <a:prstGeom prst="rect">
                      <a:avLst/>
                    </a:prstGeom>
                    <a:noFill/>
                  </pic:spPr>
                </pic:pic>
              </a:graphicData>
            </a:graphic>
          </wp:anchor>
        </w:drawing>
        <w:drawing>
          <wp:anchor simplePos="0" relativeHeight="251657728" behindDoc="1" locked="0" layoutInCell="0" allowOverlap="1">
            <wp:simplePos x="0" y="0"/>
            <wp:positionH relativeFrom="column">
              <wp:posOffset>248285</wp:posOffset>
            </wp:positionH>
            <wp:positionV relativeFrom="paragraph">
              <wp:posOffset>-30480</wp:posOffset>
            </wp:positionV>
            <wp:extent cx="142875" cy="8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142875" cy="8890"/>
                    </a:xfrm>
                    <a:prstGeom prst="rect">
                      <a:avLst/>
                    </a:prstGeom>
                    <a:noFill/>
                  </pic:spPr>
                </pic:pic>
              </a:graphicData>
            </a:graphic>
          </wp:anchor>
        </w:drawing>
        <w:drawing>
          <wp:anchor simplePos="0" relativeHeight="251657728" behindDoc="1" locked="0" layoutInCell="0" allowOverlap="1">
            <wp:simplePos x="0" y="0"/>
            <wp:positionH relativeFrom="column">
              <wp:posOffset>1093470</wp:posOffset>
            </wp:positionH>
            <wp:positionV relativeFrom="paragraph">
              <wp:posOffset>-30480</wp:posOffset>
            </wp:positionV>
            <wp:extent cx="142875" cy="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extLst>
                    </a:blip>
                    <a:srcRect/>
                    <a:stretch>
                      <a:fillRect/>
                    </a:stretch>
                  </pic:blipFill>
                  <pic:spPr bwMode="auto">
                    <a:xfrm>
                      <a:off x="0" y="0"/>
                      <a:ext cx="142875" cy="8890"/>
                    </a:xfrm>
                    <a:prstGeom prst="rect">
                      <a:avLst/>
                    </a:prstGeom>
                    <a:noFill/>
                  </pic:spPr>
                </pic:pic>
              </a:graphicData>
            </a:graphic>
          </wp:anchor>
        </w:drawing>
      </w:r>
    </w:p>
    <w:p>
      <w:pPr>
        <w:spacing w:after="0" w:line="258" w:lineRule="exact"/>
        <w:rPr>
          <w:sz w:val="20"/>
          <w:szCs w:val="20"/>
          <w:color w:val="auto"/>
        </w:rPr>
      </w:pPr>
    </w:p>
    <w:p>
      <w:pPr>
        <w:ind w:left="1520"/>
        <w:spacing w:after="0"/>
        <w:rPr>
          <w:sz w:val="20"/>
          <w:szCs w:val="20"/>
          <w:color w:val="auto"/>
        </w:rPr>
      </w:pPr>
      <w:r>
        <w:rPr>
          <w:rFonts w:ascii="Calibri" w:cs="Calibri" w:eastAsia="Calibri" w:hAnsi="Calibri"/>
          <w:sz w:val="14"/>
          <w:szCs w:val="14"/>
          <w:color w:val="auto"/>
        </w:rPr>
        <w:t>Source: OCAC &amp; AKD Research</w:t>
      </w:r>
    </w:p>
    <w:p>
      <w:pPr>
        <w:spacing w:after="0" w:line="341" w:lineRule="exact"/>
        <w:rPr>
          <w:sz w:val="20"/>
          <w:szCs w:val="20"/>
          <w:color w:val="auto"/>
        </w:rPr>
      </w:pPr>
    </w:p>
    <w:p>
      <w:pPr>
        <w:ind w:left="20"/>
        <w:spacing w:after="0"/>
        <w:rPr>
          <w:sz w:val="20"/>
          <w:szCs w:val="20"/>
          <w:color w:val="auto"/>
        </w:rPr>
      </w:pPr>
      <w:r>
        <w:rPr>
          <w:rFonts w:ascii="Calibri" w:cs="Calibri" w:eastAsia="Calibri" w:hAnsi="Calibri"/>
          <w:sz w:val="16"/>
          <w:szCs w:val="16"/>
          <w:b w:val="1"/>
          <w:bCs w:val="1"/>
          <w:i w:val="1"/>
          <w:iCs w:val="1"/>
          <w:color w:val="0C2D73"/>
        </w:rPr>
        <w:t>PSO: receivables breakdown (PkRmn)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31115</wp:posOffset>
                </wp:positionV>
                <wp:extent cx="21202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499pt,2.45pt" to="166.9pt,2.45pt" o:allowincell="f" strokecolor="#595959" strokeweight="0.25pt"/>
            </w:pict>
          </mc:Fallback>
        </mc:AlternateContent>
      </w:r>
    </w:p>
    <w:p>
      <w:pPr>
        <w:spacing w:after="0" w:line="120" w:lineRule="exact"/>
        <w:rPr>
          <w:sz w:val="20"/>
          <w:szCs w:val="20"/>
          <w:color w:val="auto"/>
        </w:rPr>
      </w:pPr>
    </w:p>
    <w:p>
      <w:pPr>
        <w:ind w:left="260"/>
        <w:spacing w:after="0"/>
        <w:rPr>
          <w:sz w:val="20"/>
          <w:szCs w:val="20"/>
          <w:color w:val="auto"/>
        </w:rPr>
      </w:pPr>
      <w:r>
        <w:rPr>
          <w:rFonts w:ascii="Calibri" w:cs="Calibri" w:eastAsia="Calibri" w:hAnsi="Calibri"/>
          <w:sz w:val="9"/>
          <w:szCs w:val="9"/>
          <w:color w:val="auto"/>
        </w:rPr>
        <w:t>700,000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405765</wp:posOffset>
            </wp:positionH>
            <wp:positionV relativeFrom="paragraph">
              <wp:posOffset>97155</wp:posOffset>
            </wp:positionV>
            <wp:extent cx="1474470" cy="11303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1474470" cy="1130300"/>
                    </a:xfrm>
                    <a:prstGeom prst="rect">
                      <a:avLst/>
                    </a:prstGeom>
                    <a:noFill/>
                  </pic:spPr>
                </pic:pic>
              </a:graphicData>
            </a:graphic>
          </wp:anchor>
        </w:drawing>
      </w:r>
    </w:p>
    <w:p>
      <w:pPr>
        <w:spacing w:after="0" w:line="152" w:lineRule="exact"/>
        <w:rPr>
          <w:sz w:val="20"/>
          <w:szCs w:val="20"/>
          <w:color w:val="auto"/>
        </w:rPr>
      </w:pPr>
    </w:p>
    <w:p>
      <w:pPr>
        <w:ind w:left="260"/>
        <w:spacing w:after="0"/>
        <w:rPr>
          <w:sz w:val="20"/>
          <w:szCs w:val="20"/>
          <w:color w:val="auto"/>
        </w:rPr>
      </w:pPr>
      <w:r>
        <w:rPr>
          <w:rFonts w:ascii="Calibri" w:cs="Calibri" w:eastAsia="Calibri" w:hAnsi="Calibri"/>
          <w:sz w:val="9"/>
          <w:szCs w:val="9"/>
          <w:color w:val="auto"/>
        </w:rPr>
        <w:t>600,000</w:t>
      </w:r>
    </w:p>
    <w:p>
      <w:pPr>
        <w:spacing w:after="0" w:line="172" w:lineRule="exact"/>
        <w:rPr>
          <w:sz w:val="20"/>
          <w:szCs w:val="20"/>
          <w:color w:val="auto"/>
        </w:rPr>
      </w:pPr>
    </w:p>
    <w:p>
      <w:pPr>
        <w:ind w:left="260"/>
        <w:spacing w:after="0"/>
        <w:rPr>
          <w:sz w:val="20"/>
          <w:szCs w:val="20"/>
          <w:color w:val="auto"/>
        </w:rPr>
      </w:pPr>
      <w:r>
        <w:rPr>
          <w:rFonts w:ascii="Calibri" w:cs="Calibri" w:eastAsia="Calibri" w:hAnsi="Calibri"/>
          <w:sz w:val="9"/>
          <w:szCs w:val="9"/>
          <w:color w:val="auto"/>
        </w:rPr>
        <w:t>500,000</w:t>
      </w:r>
    </w:p>
    <w:p>
      <w:pPr>
        <w:spacing w:after="0" w:line="172" w:lineRule="exact"/>
        <w:rPr>
          <w:sz w:val="20"/>
          <w:szCs w:val="20"/>
          <w:color w:val="auto"/>
        </w:rPr>
      </w:pPr>
    </w:p>
    <w:p>
      <w:pPr>
        <w:ind w:left="260"/>
        <w:spacing w:after="0"/>
        <w:rPr>
          <w:sz w:val="20"/>
          <w:szCs w:val="20"/>
          <w:color w:val="auto"/>
        </w:rPr>
      </w:pPr>
      <w:r>
        <w:rPr>
          <w:rFonts w:ascii="Calibri" w:cs="Calibri" w:eastAsia="Calibri" w:hAnsi="Calibri"/>
          <w:sz w:val="9"/>
          <w:szCs w:val="9"/>
          <w:color w:val="auto"/>
        </w:rPr>
        <w:t>400,000</w:t>
      </w:r>
    </w:p>
    <w:p>
      <w:pPr>
        <w:spacing w:after="0" w:line="172" w:lineRule="exact"/>
        <w:rPr>
          <w:sz w:val="20"/>
          <w:szCs w:val="20"/>
          <w:color w:val="auto"/>
        </w:rPr>
      </w:pPr>
    </w:p>
    <w:p>
      <w:pPr>
        <w:ind w:left="260"/>
        <w:spacing w:after="0"/>
        <w:rPr>
          <w:sz w:val="20"/>
          <w:szCs w:val="20"/>
          <w:color w:val="auto"/>
        </w:rPr>
      </w:pPr>
      <w:r>
        <w:rPr>
          <w:rFonts w:ascii="Calibri" w:cs="Calibri" w:eastAsia="Calibri" w:hAnsi="Calibri"/>
          <w:sz w:val="9"/>
          <w:szCs w:val="9"/>
          <w:color w:val="auto"/>
        </w:rPr>
        <w:t>300,000</w:t>
      </w:r>
    </w:p>
    <w:p>
      <w:pPr>
        <w:spacing w:after="0" w:line="172" w:lineRule="exact"/>
        <w:rPr>
          <w:sz w:val="20"/>
          <w:szCs w:val="20"/>
          <w:color w:val="auto"/>
        </w:rPr>
      </w:pPr>
    </w:p>
    <w:p>
      <w:pPr>
        <w:ind w:left="260"/>
        <w:spacing w:after="0"/>
        <w:rPr>
          <w:sz w:val="20"/>
          <w:szCs w:val="20"/>
          <w:color w:val="auto"/>
        </w:rPr>
      </w:pPr>
      <w:r>
        <w:rPr>
          <w:rFonts w:ascii="Calibri" w:cs="Calibri" w:eastAsia="Calibri" w:hAnsi="Calibri"/>
          <w:sz w:val="9"/>
          <w:szCs w:val="9"/>
          <w:color w:val="auto"/>
        </w:rPr>
        <w:t>200,000</w:t>
      </w:r>
    </w:p>
    <w:p>
      <w:pPr>
        <w:spacing w:after="0" w:line="172" w:lineRule="exact"/>
        <w:rPr>
          <w:sz w:val="20"/>
          <w:szCs w:val="20"/>
          <w:color w:val="auto"/>
        </w:rPr>
      </w:pPr>
    </w:p>
    <w:p>
      <w:pPr>
        <w:ind w:left="260"/>
        <w:spacing w:after="0"/>
        <w:rPr>
          <w:sz w:val="20"/>
          <w:szCs w:val="20"/>
          <w:color w:val="auto"/>
        </w:rPr>
      </w:pPr>
      <w:r>
        <w:rPr>
          <w:rFonts w:ascii="Calibri" w:cs="Calibri" w:eastAsia="Calibri" w:hAnsi="Calibri"/>
          <w:sz w:val="9"/>
          <w:szCs w:val="9"/>
          <w:color w:val="auto"/>
        </w:rPr>
        <w:t>100,000</w:t>
      </w:r>
    </w:p>
    <w:p>
      <w:pPr>
        <w:spacing w:after="0" w:line="172" w:lineRule="exact"/>
        <w:rPr>
          <w:sz w:val="20"/>
          <w:szCs w:val="20"/>
          <w:color w:val="auto"/>
        </w:rPr>
      </w:pPr>
    </w:p>
    <w:p>
      <w:pPr>
        <w:ind w:left="520"/>
        <w:spacing w:after="0"/>
        <w:rPr>
          <w:sz w:val="20"/>
          <w:szCs w:val="20"/>
          <w:color w:val="auto"/>
        </w:rPr>
      </w:pPr>
      <w:r>
        <w:rPr>
          <w:rFonts w:ascii="Calibri" w:cs="Calibri" w:eastAsia="Calibri" w:hAnsi="Calibri"/>
          <w:sz w:val="9"/>
          <w:szCs w:val="9"/>
          <w:color w:val="auto"/>
        </w:rPr>
        <w:t>-</w:t>
      </w:r>
    </w:p>
    <w:p>
      <w:pPr>
        <w:spacing w:after="0" w:line="1" w:lineRule="exact"/>
        <w:rPr>
          <w:sz w:val="20"/>
          <w:szCs w:val="20"/>
          <w:color w:val="auto"/>
        </w:rPr>
      </w:pPr>
    </w:p>
    <w:tbl>
      <w:tblPr>
        <w:tblLayout w:type="fixed"/>
        <w:tblInd w:w="680" w:type="dxa"/>
        <w:tblCellMar>
          <w:top w:w="0" w:type="dxa"/>
          <w:left w:w="0" w:type="dxa"/>
          <w:bottom w:w="0" w:type="dxa"/>
          <w:right w:w="0" w:type="dxa"/>
        </w:tblCellMar>
      </w:tblPr>
      <w:tr>
        <w:trPr>
          <w:trHeight w:val="110"/>
        </w:trPr>
        <w:tc>
          <w:tcPr>
            <w:tcW w:w="220" w:type="dxa"/>
            <w:vAlign w:val="bottom"/>
          </w:tcPr>
          <w:p>
            <w:pPr>
              <w:spacing w:after="0"/>
              <w:rPr>
                <w:sz w:val="20"/>
                <w:szCs w:val="20"/>
                <w:color w:val="auto"/>
              </w:rPr>
            </w:pPr>
            <w:r>
              <w:rPr>
                <w:rFonts w:ascii="Calibri" w:cs="Calibri" w:eastAsia="Calibri" w:hAnsi="Calibri"/>
                <w:sz w:val="9"/>
                <w:szCs w:val="9"/>
                <w:color w:val="auto"/>
              </w:rPr>
              <w:t>FY19</w:t>
            </w:r>
          </w:p>
        </w:tc>
        <w:tc>
          <w:tcPr>
            <w:tcW w:w="260" w:type="dxa"/>
            <w:vAlign w:val="bottom"/>
          </w:tcPr>
          <w:p>
            <w:pPr>
              <w:ind w:left="40"/>
              <w:spacing w:after="0"/>
              <w:rPr>
                <w:sz w:val="20"/>
                <w:szCs w:val="20"/>
                <w:color w:val="auto"/>
              </w:rPr>
            </w:pPr>
            <w:r>
              <w:rPr>
                <w:rFonts w:ascii="Calibri" w:cs="Calibri" w:eastAsia="Calibri" w:hAnsi="Calibri"/>
                <w:sz w:val="9"/>
                <w:szCs w:val="9"/>
                <w:color w:val="auto"/>
              </w:rPr>
              <w:t>FY20</w:t>
            </w:r>
          </w:p>
        </w:tc>
        <w:tc>
          <w:tcPr>
            <w:tcW w:w="260" w:type="dxa"/>
            <w:vAlign w:val="bottom"/>
          </w:tcPr>
          <w:p>
            <w:pPr>
              <w:ind w:left="40"/>
              <w:spacing w:after="0"/>
              <w:rPr>
                <w:sz w:val="20"/>
                <w:szCs w:val="20"/>
                <w:color w:val="auto"/>
              </w:rPr>
            </w:pPr>
            <w:r>
              <w:rPr>
                <w:rFonts w:ascii="Calibri" w:cs="Calibri" w:eastAsia="Calibri" w:hAnsi="Calibri"/>
                <w:sz w:val="9"/>
                <w:szCs w:val="9"/>
                <w:color w:val="auto"/>
              </w:rPr>
              <w:t>FY21</w:t>
            </w:r>
          </w:p>
        </w:tc>
        <w:tc>
          <w:tcPr>
            <w:tcW w:w="280" w:type="dxa"/>
            <w:vAlign w:val="bottom"/>
            <w:gridSpan w:val="2"/>
          </w:tcPr>
          <w:p>
            <w:pPr>
              <w:ind w:left="40"/>
              <w:spacing w:after="0"/>
              <w:rPr>
                <w:sz w:val="20"/>
                <w:szCs w:val="20"/>
                <w:color w:val="auto"/>
              </w:rPr>
            </w:pPr>
            <w:r>
              <w:rPr>
                <w:rFonts w:ascii="Calibri" w:cs="Calibri" w:eastAsia="Calibri" w:hAnsi="Calibri"/>
                <w:sz w:val="9"/>
                <w:szCs w:val="9"/>
                <w:color w:val="auto"/>
              </w:rPr>
              <w:t>FY22</w:t>
            </w:r>
          </w:p>
        </w:tc>
        <w:tc>
          <w:tcPr>
            <w:tcW w:w="220" w:type="dxa"/>
            <w:vAlign w:val="bottom"/>
          </w:tcPr>
          <w:p>
            <w:pPr>
              <w:ind w:left="20"/>
              <w:spacing w:after="0"/>
              <w:rPr>
                <w:sz w:val="20"/>
                <w:szCs w:val="20"/>
                <w:color w:val="auto"/>
              </w:rPr>
            </w:pPr>
            <w:r>
              <w:rPr>
                <w:rFonts w:ascii="Calibri" w:cs="Calibri" w:eastAsia="Calibri" w:hAnsi="Calibri"/>
                <w:sz w:val="9"/>
                <w:szCs w:val="9"/>
                <w:color w:val="auto"/>
              </w:rPr>
              <w:t>FY23</w:t>
            </w:r>
          </w:p>
        </w:tc>
        <w:tc>
          <w:tcPr>
            <w:tcW w:w="260" w:type="dxa"/>
            <w:vAlign w:val="bottom"/>
          </w:tcPr>
          <w:p>
            <w:pPr>
              <w:ind w:left="60"/>
              <w:spacing w:after="0"/>
              <w:rPr>
                <w:sz w:val="20"/>
                <w:szCs w:val="20"/>
                <w:color w:val="auto"/>
              </w:rPr>
            </w:pPr>
            <w:r>
              <w:rPr>
                <w:rFonts w:ascii="Calibri" w:cs="Calibri" w:eastAsia="Calibri" w:hAnsi="Calibri"/>
                <w:sz w:val="9"/>
                <w:szCs w:val="9"/>
                <w:color w:val="auto"/>
              </w:rPr>
              <w:t>FY24</w:t>
            </w:r>
          </w:p>
        </w:tc>
        <w:tc>
          <w:tcPr>
            <w:tcW w:w="260" w:type="dxa"/>
            <w:vAlign w:val="bottom"/>
          </w:tcPr>
          <w:p>
            <w:pPr>
              <w:ind w:left="60"/>
              <w:spacing w:after="0"/>
              <w:rPr>
                <w:sz w:val="20"/>
                <w:szCs w:val="20"/>
                <w:color w:val="auto"/>
              </w:rPr>
            </w:pPr>
            <w:r>
              <w:rPr>
                <w:rFonts w:ascii="Calibri" w:cs="Calibri" w:eastAsia="Calibri" w:hAnsi="Calibri"/>
                <w:sz w:val="9"/>
                <w:szCs w:val="9"/>
                <w:color w:val="auto"/>
              </w:rPr>
              <w:t>FY25</w:t>
            </w:r>
          </w:p>
        </w:tc>
        <w:tc>
          <w:tcPr>
            <w:tcW w:w="260" w:type="dxa"/>
            <w:vAlign w:val="bottom"/>
          </w:tcPr>
          <w:p>
            <w:pPr>
              <w:ind w:left="60"/>
              <w:spacing w:after="0"/>
              <w:rPr>
                <w:sz w:val="20"/>
                <w:szCs w:val="20"/>
                <w:color w:val="auto"/>
              </w:rPr>
            </w:pPr>
            <w:r>
              <w:rPr>
                <w:rFonts w:ascii="Calibri" w:cs="Calibri" w:eastAsia="Calibri" w:hAnsi="Calibri"/>
                <w:sz w:val="9"/>
                <w:szCs w:val="9"/>
                <w:color w:val="auto"/>
              </w:rPr>
              <w:t>FY26</w:t>
            </w:r>
          </w:p>
        </w:tc>
        <w:tc>
          <w:tcPr>
            <w:tcW w:w="240" w:type="dxa"/>
            <w:vAlign w:val="bottom"/>
          </w:tcPr>
          <w:p>
            <w:pPr>
              <w:ind w:left="40"/>
              <w:spacing w:after="0"/>
              <w:rPr>
                <w:sz w:val="20"/>
                <w:szCs w:val="20"/>
                <w:color w:val="auto"/>
              </w:rPr>
            </w:pPr>
            <w:r>
              <w:rPr>
                <w:rFonts w:ascii="Calibri" w:cs="Calibri" w:eastAsia="Calibri" w:hAnsi="Calibri"/>
                <w:sz w:val="9"/>
                <w:szCs w:val="9"/>
                <w:color w:val="auto"/>
                <w:w w:val="90"/>
              </w:rPr>
              <w:t>FY27</w:t>
            </w:r>
          </w:p>
        </w:tc>
      </w:tr>
      <w:tr>
        <w:trPr>
          <w:trHeight w:val="190"/>
        </w:trPr>
        <w:tc>
          <w:tcPr>
            <w:tcW w:w="22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380" w:type="dxa"/>
            <w:vAlign w:val="bottom"/>
            <w:gridSpan w:val="2"/>
          </w:tcPr>
          <w:p>
            <w:pPr>
              <w:ind w:left="120"/>
              <w:spacing w:after="0"/>
              <w:rPr>
                <w:sz w:val="20"/>
                <w:szCs w:val="20"/>
                <w:color w:val="auto"/>
              </w:rPr>
            </w:pPr>
            <w:r>
              <w:rPr>
                <w:rFonts w:ascii="Calibri" w:cs="Calibri" w:eastAsia="Calibri" w:hAnsi="Calibri"/>
                <w:sz w:val="9"/>
                <w:szCs w:val="9"/>
                <w:color w:val="auto"/>
              </w:rPr>
              <w:t>RLNG</w:t>
            </w:r>
          </w:p>
        </w:tc>
        <w:tc>
          <w:tcPr>
            <w:tcW w:w="160" w:type="dxa"/>
            <w:vAlign w:val="bottom"/>
          </w:tcPr>
          <w:p>
            <w:pPr>
              <w:ind w:left="60"/>
              <w:spacing w:after="0"/>
              <w:rPr>
                <w:sz w:val="20"/>
                <w:szCs w:val="20"/>
                <w:color w:val="auto"/>
              </w:rPr>
            </w:pPr>
            <w:r>
              <w:rPr>
                <w:rFonts w:ascii="Calibri" w:cs="Calibri" w:eastAsia="Calibri" w:hAnsi="Calibri"/>
                <w:sz w:val="9"/>
                <w:szCs w:val="9"/>
                <w:color w:val="auto"/>
                <w:w w:val="78"/>
              </w:rPr>
              <w:t>FO</w:t>
            </w:r>
          </w:p>
        </w:tc>
        <w:tc>
          <w:tcPr>
            <w:tcW w:w="480" w:type="dxa"/>
            <w:vAlign w:val="bottom"/>
            <w:gridSpan w:val="2"/>
          </w:tcPr>
          <w:p>
            <w:pPr>
              <w:ind w:left="140"/>
              <w:spacing w:after="0"/>
              <w:rPr>
                <w:sz w:val="20"/>
                <w:szCs w:val="20"/>
                <w:color w:val="auto"/>
              </w:rPr>
            </w:pPr>
            <w:r>
              <w:rPr>
                <w:rFonts w:ascii="Calibri" w:cs="Calibri" w:eastAsia="Calibri" w:hAnsi="Calibri"/>
                <w:sz w:val="9"/>
                <w:szCs w:val="9"/>
                <w:color w:val="auto"/>
              </w:rPr>
              <w:t>Others</w:t>
            </w:r>
          </w:p>
        </w:tc>
        <w:tc>
          <w:tcPr>
            <w:tcW w:w="26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40" w:type="dxa"/>
            <w:vAlign w:val="bottom"/>
          </w:tcPr>
          <w:p>
            <w:pPr>
              <w:spacing w:after="0"/>
              <w:rPr>
                <w:sz w:val="16"/>
                <w:szCs w:val="16"/>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94615</wp:posOffset>
                </wp:positionV>
                <wp:extent cx="21209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900"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5pt,7.45pt" to="167.35pt,7.45pt" o:allowincell="f" strokecolor="#595959" strokeweight="0.25pt"/>
            </w:pict>
          </mc:Fallback>
        </mc:AlternateContent>
      </w:r>
    </w:p>
    <w:p>
      <w:pPr>
        <w:spacing w:after="0" w:line="175" w:lineRule="exact"/>
        <w:rPr>
          <w:sz w:val="20"/>
          <w:szCs w:val="20"/>
          <w:color w:val="auto"/>
        </w:rPr>
      </w:pPr>
    </w:p>
    <w:p>
      <w:pPr>
        <w:ind w:left="1520"/>
        <w:spacing w:after="0"/>
        <w:rPr>
          <w:sz w:val="20"/>
          <w:szCs w:val="20"/>
          <w:color w:val="auto"/>
        </w:rPr>
      </w:pPr>
      <w:r>
        <w:rPr>
          <w:rFonts w:ascii="Calibri" w:cs="Calibri" w:eastAsia="Calibri" w:hAnsi="Calibri"/>
          <w:sz w:val="14"/>
          <w:szCs w:val="14"/>
          <w:color w:val="auto"/>
        </w:rPr>
        <w:t>Source: OCAC &amp; AKD Research</w:t>
      </w:r>
    </w:p>
    <w:p>
      <w:pPr>
        <w:spacing w:after="0" w:line="385" w:lineRule="exact"/>
        <w:rPr>
          <w:sz w:val="20"/>
          <w:szCs w:val="20"/>
          <w:color w:val="auto"/>
        </w:rPr>
      </w:pPr>
    </w:p>
    <w:p>
      <w:pPr>
        <w:spacing w:after="0"/>
        <w:rPr>
          <w:sz w:val="20"/>
          <w:szCs w:val="20"/>
          <w:color w:val="auto"/>
        </w:rPr>
      </w:pPr>
      <w:r>
        <w:rPr>
          <w:rFonts w:ascii="Calibri" w:cs="Calibri" w:eastAsia="Calibri" w:hAnsi="Calibri"/>
          <w:sz w:val="16"/>
          <w:szCs w:val="16"/>
          <w:b w:val="1"/>
          <w:bCs w:val="1"/>
          <w:i w:val="1"/>
          <w:iCs w:val="1"/>
          <w:color w:val="0C2D73"/>
        </w:rPr>
        <w:t>MARI</w:t>
      </w:r>
      <w:r>
        <w:rPr>
          <w:rFonts w:ascii="Calibri" w:cs="Calibri" w:eastAsia="Calibri" w:hAnsi="Calibri"/>
          <w:sz w:val="16"/>
          <w:szCs w:val="16"/>
          <w:b w:val="1"/>
          <w:bCs w:val="1"/>
          <w:color w:val="0C2D73"/>
        </w:rPr>
        <w:t xml:space="preserve"> | OGDC | PPL | PSO vs. KSE100 Index</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-19050</wp:posOffset>
                </wp:positionH>
                <wp:positionV relativeFrom="paragraph">
                  <wp:posOffset>30480</wp:posOffset>
                </wp:positionV>
                <wp:extent cx="21202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999pt,2.4pt" to="165.45pt,2.4pt" o:allowincell="f" strokecolor="#595959" strokeweight="0.25pt"/>
            </w:pict>
          </mc:Fallback>
        </mc:AlternateContent>
      </w:r>
    </w:p>
    <w:p>
      <w:pPr>
        <w:spacing w:after="0" w:line="105" w:lineRule="exact"/>
        <w:rPr>
          <w:sz w:val="20"/>
          <w:szCs w:val="20"/>
          <w:color w:val="auto"/>
        </w:rPr>
      </w:pPr>
    </w:p>
    <w:p>
      <w:pPr>
        <w:ind w:left="320"/>
        <w:spacing w:after="0"/>
        <w:rPr>
          <w:sz w:val="20"/>
          <w:szCs w:val="20"/>
          <w:color w:val="auto"/>
        </w:rPr>
      </w:pPr>
      <w:r>
        <w:rPr>
          <w:rFonts w:ascii="Arial" w:cs="Arial" w:eastAsia="Arial" w:hAnsi="Arial"/>
          <w:sz w:val="9"/>
          <w:szCs w:val="9"/>
          <w:color w:val="auto"/>
        </w:rPr>
        <w:t>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52070</wp:posOffset>
            </wp:positionV>
            <wp:extent cx="1575435" cy="96901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extLst>
                    </a:blip>
                    <a:srcRect/>
                    <a:stretch>
                      <a:fillRect/>
                    </a:stretch>
                  </pic:blipFill>
                  <pic:spPr bwMode="auto">
                    <a:xfrm>
                      <a:off x="0" y="0"/>
                      <a:ext cx="1575435" cy="969010"/>
                    </a:xfrm>
                    <a:prstGeom prst="rect">
                      <a:avLst/>
                    </a:prstGeom>
                    <a:noFill/>
                  </pic:spPr>
                </pic:pic>
              </a:graphicData>
            </a:graphic>
          </wp:anchor>
        </w:drawing>
      </w:r>
    </w:p>
    <w:p>
      <w:pPr>
        <w:spacing w:after="0" w:line="88" w:lineRule="exact"/>
        <w:rPr>
          <w:sz w:val="20"/>
          <w:szCs w:val="20"/>
          <w:color w:val="auto"/>
        </w:rPr>
      </w:pPr>
    </w:p>
    <w:p>
      <w:pPr>
        <w:ind w:left="320"/>
        <w:spacing w:after="0"/>
        <w:rPr>
          <w:sz w:val="20"/>
          <w:szCs w:val="20"/>
          <w:color w:val="auto"/>
        </w:rPr>
      </w:pPr>
      <w:r>
        <w:rPr>
          <w:rFonts w:ascii="Arial" w:cs="Arial" w:eastAsia="Arial" w:hAnsi="Arial"/>
          <w:sz w:val="9"/>
          <w:szCs w:val="9"/>
          <w:color w:val="auto"/>
        </w:rPr>
        <w:t>40%</w:t>
      </w:r>
    </w:p>
    <w:p>
      <w:pPr>
        <w:spacing w:after="0" w:line="108" w:lineRule="exact"/>
        <w:rPr>
          <w:sz w:val="20"/>
          <w:szCs w:val="20"/>
          <w:color w:val="auto"/>
        </w:rPr>
      </w:pPr>
    </w:p>
    <w:p>
      <w:pPr>
        <w:ind w:left="320"/>
        <w:spacing w:after="0"/>
        <w:rPr>
          <w:sz w:val="20"/>
          <w:szCs w:val="20"/>
          <w:color w:val="auto"/>
        </w:rPr>
      </w:pPr>
      <w:r>
        <w:rPr>
          <w:rFonts w:ascii="Arial" w:cs="Arial" w:eastAsia="Arial" w:hAnsi="Arial"/>
          <w:sz w:val="9"/>
          <w:szCs w:val="9"/>
          <w:color w:val="auto"/>
        </w:rPr>
        <w:t>30%</w:t>
      </w:r>
    </w:p>
    <w:p>
      <w:pPr>
        <w:spacing w:after="0" w:line="108" w:lineRule="exact"/>
        <w:rPr>
          <w:sz w:val="20"/>
          <w:szCs w:val="20"/>
          <w:color w:val="auto"/>
        </w:rPr>
      </w:pPr>
    </w:p>
    <w:p>
      <w:pPr>
        <w:ind w:left="320"/>
        <w:spacing w:after="0"/>
        <w:rPr>
          <w:sz w:val="20"/>
          <w:szCs w:val="20"/>
          <w:color w:val="auto"/>
        </w:rPr>
      </w:pPr>
      <w:r>
        <w:rPr>
          <w:rFonts w:ascii="Arial" w:cs="Arial" w:eastAsia="Arial" w:hAnsi="Arial"/>
          <w:sz w:val="9"/>
          <w:szCs w:val="9"/>
          <w:color w:val="auto"/>
        </w:rPr>
        <w:t>20%</w:t>
      </w:r>
    </w:p>
    <w:p>
      <w:pPr>
        <w:spacing w:after="0" w:line="108" w:lineRule="exact"/>
        <w:rPr>
          <w:sz w:val="20"/>
          <w:szCs w:val="20"/>
          <w:color w:val="auto"/>
        </w:rPr>
      </w:pPr>
    </w:p>
    <w:p>
      <w:pPr>
        <w:ind w:left="320"/>
        <w:spacing w:after="0"/>
        <w:rPr>
          <w:sz w:val="20"/>
          <w:szCs w:val="20"/>
          <w:color w:val="auto"/>
        </w:rPr>
      </w:pPr>
      <w:r>
        <w:rPr>
          <w:rFonts w:ascii="Arial" w:cs="Arial" w:eastAsia="Arial" w:hAnsi="Arial"/>
          <w:sz w:val="9"/>
          <w:szCs w:val="9"/>
          <w:color w:val="auto"/>
        </w:rPr>
        <w:t>10%</w:t>
      </w:r>
    </w:p>
    <w:p>
      <w:pPr>
        <w:spacing w:after="0" w:line="108" w:lineRule="exact"/>
        <w:rPr>
          <w:sz w:val="20"/>
          <w:szCs w:val="20"/>
          <w:color w:val="auto"/>
        </w:rPr>
      </w:pPr>
    </w:p>
    <w:p>
      <w:pPr>
        <w:ind w:left="380"/>
        <w:spacing w:after="0"/>
        <w:rPr>
          <w:sz w:val="20"/>
          <w:szCs w:val="20"/>
          <w:color w:val="auto"/>
        </w:rPr>
      </w:pPr>
      <w:r>
        <w:rPr>
          <w:rFonts w:ascii="Arial" w:cs="Arial" w:eastAsia="Arial" w:hAnsi="Arial"/>
          <w:sz w:val="9"/>
          <w:szCs w:val="9"/>
          <w:color w:val="auto"/>
        </w:rPr>
        <w:t>0%</w:t>
      </w:r>
    </w:p>
    <w:p>
      <w:pPr>
        <w:spacing w:after="0" w:line="108" w:lineRule="exact"/>
        <w:rPr>
          <w:sz w:val="20"/>
          <w:szCs w:val="20"/>
          <w:color w:val="auto"/>
        </w:rPr>
      </w:pPr>
    </w:p>
    <w:p>
      <w:pPr>
        <w:ind w:left="300"/>
        <w:spacing w:after="0"/>
        <w:rPr>
          <w:sz w:val="20"/>
          <w:szCs w:val="20"/>
          <w:color w:val="auto"/>
        </w:rPr>
      </w:pPr>
      <w:r>
        <w:rPr>
          <w:rFonts w:ascii="Arial" w:cs="Arial" w:eastAsia="Arial" w:hAnsi="Arial"/>
          <w:sz w:val="9"/>
          <w:szCs w:val="9"/>
          <w:color w:val="auto"/>
        </w:rPr>
        <w:t>-10%</w:t>
      </w:r>
    </w:p>
    <w:p>
      <w:pPr>
        <w:spacing w:after="0" w:line="108" w:lineRule="exact"/>
        <w:rPr>
          <w:sz w:val="20"/>
          <w:szCs w:val="20"/>
          <w:color w:val="auto"/>
        </w:rPr>
      </w:pPr>
    </w:p>
    <w:p>
      <w:pPr>
        <w:ind w:left="300"/>
        <w:spacing w:after="0"/>
        <w:rPr>
          <w:sz w:val="20"/>
          <w:szCs w:val="20"/>
          <w:color w:val="auto"/>
        </w:rPr>
      </w:pPr>
      <w:r>
        <w:rPr>
          <w:rFonts w:ascii="Arial" w:cs="Arial" w:eastAsia="Arial" w:hAnsi="Arial"/>
          <w:sz w:val="9"/>
          <w:szCs w:val="9"/>
          <w:color w:val="auto"/>
        </w:rPr>
        <w:t>-20%</w:t>
      </w:r>
    </w:p>
    <w:p>
      <w:pPr>
        <w:spacing w:after="0" w:line="108" w:lineRule="exact"/>
        <w:rPr>
          <w:sz w:val="20"/>
          <w:szCs w:val="20"/>
          <w:color w:val="auto"/>
        </w:rPr>
      </w:pPr>
    </w:p>
    <w:p>
      <w:pPr>
        <w:ind w:left="300"/>
        <w:spacing w:after="0"/>
        <w:rPr>
          <w:sz w:val="20"/>
          <w:szCs w:val="20"/>
          <w:color w:val="auto"/>
        </w:rPr>
      </w:pPr>
      <w:r>
        <w:rPr>
          <w:rFonts w:ascii="Arial" w:cs="Arial" w:eastAsia="Arial" w:hAnsi="Arial"/>
          <w:sz w:val="9"/>
          <w:szCs w:val="9"/>
          <w:color w:val="auto"/>
        </w:rPr>
        <w:t>-30%</w:t>
      </w:r>
    </w:p>
    <w:p>
      <w:pPr>
        <w:spacing w:after="0" w:line="108" w:lineRule="exact"/>
        <w:rPr>
          <w:sz w:val="20"/>
          <w:szCs w:val="20"/>
          <w:color w:val="auto"/>
        </w:rPr>
      </w:pPr>
    </w:p>
    <w:p>
      <w:pPr>
        <w:ind w:left="300"/>
        <w:spacing w:after="0"/>
        <w:rPr>
          <w:sz w:val="20"/>
          <w:szCs w:val="20"/>
          <w:color w:val="auto"/>
        </w:rPr>
      </w:pPr>
      <w:r>
        <w:rPr>
          <w:rFonts w:ascii="Arial" w:cs="Arial" w:eastAsia="Arial" w:hAnsi="Arial"/>
          <w:sz w:val="9"/>
          <w:szCs w:val="9"/>
          <w:color w:val="auto"/>
        </w:rPr>
        <w:t>-40%</w:t>
      </w:r>
    </w:p>
    <w:p>
      <w:pPr>
        <w:spacing w:after="0" w:line="7" w:lineRule="exact"/>
        <w:rPr>
          <w:sz w:val="20"/>
          <w:szCs w:val="20"/>
          <w:color w:val="auto"/>
        </w:rPr>
      </w:pPr>
    </w:p>
    <w:tbl>
      <w:tblPr>
        <w:tblLayout w:type="fixed"/>
        <w:tblInd w:w="460" w:type="dxa"/>
        <w:tblCellMar>
          <w:top w:w="0" w:type="dxa"/>
          <w:left w:w="0" w:type="dxa"/>
          <w:bottom w:w="0" w:type="dxa"/>
          <w:right w:w="0" w:type="dxa"/>
        </w:tblCellMar>
      </w:tblPr>
      <w:tr>
        <w:trPr>
          <w:trHeight w:val="305"/>
        </w:trPr>
        <w:tc>
          <w:tcPr>
            <w:tcW w:w="800" w:type="dxa"/>
            <w:vAlign w:val="bottom"/>
            <w:gridSpan w:val="2"/>
            <w:textDirection w:val="btLr"/>
          </w:tcPr>
          <w:p>
            <w:pPr>
              <w:ind w:left="731"/>
              <w:spacing w:after="0"/>
              <w:rPr>
                <w:sz w:val="20"/>
                <w:szCs w:val="20"/>
                <w:color w:val="auto"/>
              </w:rPr>
            </w:pPr>
            <w:r>
              <w:rPr>
                <w:rFonts w:ascii="Arial" w:cs="Arial" w:eastAsia="Arial" w:hAnsi="Arial"/>
                <w:sz w:val="2"/>
                <w:szCs w:val="2"/>
                <w:color w:val="auto"/>
                <w:w w:val="97"/>
              </w:rPr>
              <w:t>May-22Jun-22Jun-22Jul-22Aug-22</w:t>
            </w:r>
          </w:p>
        </w:tc>
        <w:tc>
          <w:tcPr>
            <w:tcW w:w="400" w:type="dxa"/>
            <w:vAlign w:val="bottom"/>
            <w:gridSpan w:val="2"/>
            <w:textDirection w:val="btLr"/>
          </w:tcPr>
          <w:p>
            <w:pPr>
              <w:spacing w:after="0"/>
              <w:rPr>
                <w:sz w:val="20"/>
                <w:szCs w:val="20"/>
                <w:color w:val="auto"/>
              </w:rPr>
            </w:pPr>
            <w:r>
              <w:rPr>
                <w:rFonts w:ascii="Arial" w:cs="Arial" w:eastAsia="Arial" w:hAnsi="Arial"/>
                <w:sz w:val="3"/>
                <w:szCs w:val="3"/>
                <w:color w:val="auto"/>
                <w:w w:val="98"/>
              </w:rPr>
              <w:t>Aug-22Sep-22Oct-22</w:t>
            </w:r>
          </w:p>
        </w:tc>
        <w:tc>
          <w:tcPr>
            <w:tcW w:w="580" w:type="dxa"/>
            <w:vAlign w:val="bottom"/>
            <w:gridSpan w:val="4"/>
            <w:textDirection w:val="btLr"/>
          </w:tcPr>
          <w:p>
            <w:pPr>
              <w:ind w:left="526"/>
              <w:spacing w:after="0"/>
              <w:rPr>
                <w:sz w:val="20"/>
                <w:szCs w:val="20"/>
                <w:color w:val="auto"/>
              </w:rPr>
            </w:pPr>
            <w:r>
              <w:rPr>
                <w:rFonts w:ascii="Arial" w:cs="Arial" w:eastAsia="Arial" w:hAnsi="Arial"/>
                <w:sz w:val="3"/>
                <w:szCs w:val="3"/>
                <w:color w:val="auto"/>
                <w:w w:val="73"/>
              </w:rPr>
              <w:t>Oct-22Nov-22Dec-22Dec-22</w:t>
            </w:r>
          </w:p>
        </w:tc>
        <w:tc>
          <w:tcPr>
            <w:tcW w:w="300" w:type="dxa"/>
            <w:vAlign w:val="bottom"/>
            <w:gridSpan w:val="2"/>
            <w:textDirection w:val="btLr"/>
          </w:tcPr>
          <w:p>
            <w:pPr>
              <w:ind w:left="199"/>
              <w:spacing w:after="0"/>
              <w:rPr>
                <w:sz w:val="20"/>
                <w:szCs w:val="20"/>
                <w:color w:val="auto"/>
              </w:rPr>
            </w:pPr>
            <w:r>
              <w:rPr>
                <w:rFonts w:ascii="Arial" w:cs="Arial" w:eastAsia="Arial" w:hAnsi="Arial"/>
                <w:sz w:val="6"/>
                <w:szCs w:val="6"/>
                <w:color w:val="auto"/>
                <w:w w:val="74"/>
              </w:rPr>
              <w:t>Jan-23Feb-23</w:t>
            </w:r>
          </w:p>
        </w:tc>
        <w:tc>
          <w:tcPr>
            <w:tcW w:w="520" w:type="dxa"/>
            <w:vAlign w:val="bottom"/>
            <w:gridSpan w:val="3"/>
            <w:textDirection w:val="btLr"/>
          </w:tcPr>
          <w:p>
            <w:pPr>
              <w:ind w:left="486"/>
              <w:spacing w:after="0"/>
              <w:rPr>
                <w:sz w:val="20"/>
                <w:szCs w:val="20"/>
                <w:color w:val="auto"/>
              </w:rPr>
            </w:pPr>
            <w:r>
              <w:rPr>
                <w:rFonts w:ascii="Arial" w:cs="Arial" w:eastAsia="Arial" w:hAnsi="Arial"/>
                <w:sz w:val="3"/>
                <w:szCs w:val="3"/>
                <w:color w:val="auto"/>
                <w:w w:val="78"/>
              </w:rPr>
              <w:t>Mar-23Mar-23Apr-23May-23</w:t>
            </w:r>
          </w:p>
        </w:tc>
      </w:tr>
      <w:tr>
        <w:trPr>
          <w:trHeight w:val="150"/>
        </w:trPr>
        <w:tc>
          <w:tcPr>
            <w:tcW w:w="140" w:type="dxa"/>
            <w:vAlign w:val="bottom"/>
            <w:tcBorders>
              <w:bottom w:val="single" w:sz="8" w:color="00B0F0"/>
            </w:tcBorders>
          </w:tcPr>
          <w:p>
            <w:pPr>
              <w:spacing w:after="0"/>
              <w:rPr>
                <w:sz w:val="13"/>
                <w:szCs w:val="13"/>
                <w:color w:val="auto"/>
              </w:rPr>
            </w:pPr>
          </w:p>
        </w:tc>
        <w:tc>
          <w:tcPr>
            <w:tcW w:w="660" w:type="dxa"/>
            <w:vAlign w:val="bottom"/>
          </w:tcPr>
          <w:p>
            <w:pPr>
              <w:ind w:left="20"/>
              <w:spacing w:after="0"/>
              <w:rPr>
                <w:sz w:val="20"/>
                <w:szCs w:val="20"/>
                <w:color w:val="auto"/>
              </w:rPr>
            </w:pPr>
            <w:r>
              <w:rPr>
                <w:rFonts w:ascii="Arial" w:cs="Arial" w:eastAsia="Arial" w:hAnsi="Arial"/>
                <w:sz w:val="9"/>
                <w:szCs w:val="9"/>
                <w:color w:val="auto"/>
              </w:rPr>
              <w:t>KSE100 Index</w:t>
            </w:r>
          </w:p>
        </w:tc>
        <w:tc>
          <w:tcPr>
            <w:tcW w:w="140" w:type="dxa"/>
            <w:vAlign w:val="bottom"/>
            <w:tcBorders>
              <w:bottom w:val="single" w:sz="8" w:color="376092"/>
            </w:tcBorders>
          </w:tcPr>
          <w:p>
            <w:pPr>
              <w:spacing w:after="0"/>
              <w:rPr>
                <w:sz w:val="13"/>
                <w:szCs w:val="13"/>
                <w:color w:val="auto"/>
              </w:rPr>
            </w:pPr>
          </w:p>
        </w:tc>
        <w:tc>
          <w:tcPr>
            <w:tcW w:w="260" w:type="dxa"/>
            <w:vAlign w:val="bottom"/>
          </w:tcPr>
          <w:p>
            <w:pPr>
              <w:jc w:val="right"/>
              <w:spacing w:after="0"/>
              <w:rPr>
                <w:sz w:val="20"/>
                <w:szCs w:val="20"/>
                <w:color w:val="auto"/>
              </w:rPr>
            </w:pPr>
            <w:r>
              <w:rPr>
                <w:rFonts w:ascii="Arial" w:cs="Arial" w:eastAsia="Arial" w:hAnsi="Arial"/>
                <w:sz w:val="9"/>
                <w:szCs w:val="9"/>
                <w:color w:val="auto"/>
                <w:w w:val="97"/>
              </w:rPr>
              <w:t>MARI</w:t>
            </w:r>
          </w:p>
        </w:tc>
        <w:tc>
          <w:tcPr>
            <w:tcW w:w="40" w:type="dxa"/>
            <w:vAlign w:val="bottom"/>
          </w:tcPr>
          <w:p>
            <w:pPr>
              <w:spacing w:after="0"/>
              <w:rPr>
                <w:sz w:val="13"/>
                <w:szCs w:val="13"/>
                <w:color w:val="auto"/>
              </w:rPr>
            </w:pPr>
          </w:p>
        </w:tc>
        <w:tc>
          <w:tcPr>
            <w:tcW w:w="140" w:type="dxa"/>
            <w:vAlign w:val="bottom"/>
            <w:tcBorders>
              <w:bottom w:val="single" w:sz="8" w:color="95B3D7"/>
            </w:tcBorders>
          </w:tcPr>
          <w:p>
            <w:pPr>
              <w:spacing w:after="0"/>
              <w:rPr>
                <w:sz w:val="13"/>
                <w:szCs w:val="13"/>
                <w:color w:val="auto"/>
              </w:rPr>
            </w:pPr>
          </w:p>
        </w:tc>
        <w:tc>
          <w:tcPr>
            <w:tcW w:w="360" w:type="dxa"/>
            <w:vAlign w:val="bottom"/>
          </w:tcPr>
          <w:p>
            <w:pPr>
              <w:ind w:left="20"/>
              <w:spacing w:after="0"/>
              <w:rPr>
                <w:sz w:val="20"/>
                <w:szCs w:val="20"/>
                <w:color w:val="auto"/>
              </w:rPr>
            </w:pPr>
            <w:r>
              <w:rPr>
                <w:rFonts w:ascii="Arial" w:cs="Arial" w:eastAsia="Arial" w:hAnsi="Arial"/>
                <w:sz w:val="9"/>
                <w:szCs w:val="9"/>
                <w:color w:val="auto"/>
              </w:rPr>
              <w:t>OGDC</w:t>
            </w:r>
          </w:p>
        </w:tc>
        <w:tc>
          <w:tcPr>
            <w:tcW w:w="40" w:type="dxa"/>
            <w:vAlign w:val="bottom"/>
            <w:tcBorders>
              <w:bottom w:val="single" w:sz="8" w:color="D99694"/>
            </w:tcBorders>
          </w:tcPr>
          <w:p>
            <w:pPr>
              <w:spacing w:after="0"/>
              <w:rPr>
                <w:sz w:val="13"/>
                <w:szCs w:val="13"/>
                <w:color w:val="auto"/>
              </w:rPr>
            </w:pPr>
          </w:p>
        </w:tc>
        <w:tc>
          <w:tcPr>
            <w:tcW w:w="100" w:type="dxa"/>
            <w:vAlign w:val="bottom"/>
            <w:tcBorders>
              <w:bottom w:val="single" w:sz="8" w:color="D99694"/>
            </w:tcBorders>
          </w:tcPr>
          <w:p>
            <w:pPr>
              <w:spacing w:after="0"/>
              <w:rPr>
                <w:sz w:val="13"/>
                <w:szCs w:val="13"/>
                <w:color w:val="auto"/>
              </w:rPr>
            </w:pPr>
          </w:p>
        </w:tc>
        <w:tc>
          <w:tcPr>
            <w:tcW w:w="200" w:type="dxa"/>
            <w:vAlign w:val="bottom"/>
          </w:tcPr>
          <w:p>
            <w:pPr>
              <w:ind w:left="20"/>
              <w:spacing w:after="0"/>
              <w:rPr>
                <w:sz w:val="20"/>
                <w:szCs w:val="20"/>
                <w:color w:val="auto"/>
              </w:rPr>
            </w:pPr>
            <w:r>
              <w:rPr>
                <w:rFonts w:ascii="Arial" w:cs="Arial" w:eastAsia="Arial" w:hAnsi="Arial"/>
                <w:sz w:val="9"/>
                <w:szCs w:val="9"/>
                <w:color w:val="auto"/>
                <w:w w:val="93"/>
              </w:rPr>
              <w:t>PPL</w:t>
            </w:r>
          </w:p>
        </w:tc>
        <w:tc>
          <w:tcPr>
            <w:tcW w:w="40" w:type="dxa"/>
            <w:vAlign w:val="bottom"/>
          </w:tcPr>
          <w:p>
            <w:pPr>
              <w:spacing w:after="0"/>
              <w:rPr>
                <w:sz w:val="13"/>
                <w:szCs w:val="13"/>
                <w:color w:val="auto"/>
              </w:rPr>
            </w:pPr>
          </w:p>
        </w:tc>
        <w:tc>
          <w:tcPr>
            <w:tcW w:w="160" w:type="dxa"/>
            <w:vAlign w:val="bottom"/>
            <w:tcBorders>
              <w:bottom w:val="single" w:sz="8" w:color="BFBFBF"/>
            </w:tcBorders>
          </w:tcPr>
          <w:p>
            <w:pPr>
              <w:spacing w:after="0"/>
              <w:rPr>
                <w:sz w:val="13"/>
                <w:szCs w:val="13"/>
                <w:color w:val="auto"/>
              </w:rPr>
            </w:pPr>
          </w:p>
        </w:tc>
        <w:tc>
          <w:tcPr>
            <w:tcW w:w="340" w:type="dxa"/>
            <w:vAlign w:val="bottom"/>
          </w:tcPr>
          <w:p>
            <w:pPr>
              <w:spacing w:after="0"/>
              <w:rPr>
                <w:sz w:val="20"/>
                <w:szCs w:val="20"/>
                <w:color w:val="auto"/>
              </w:rPr>
            </w:pPr>
            <w:r>
              <w:rPr>
                <w:rFonts w:ascii="Arial" w:cs="Arial" w:eastAsia="Arial" w:hAnsi="Arial"/>
                <w:sz w:val="9"/>
                <w:szCs w:val="9"/>
                <w:color w:val="auto"/>
              </w:rPr>
              <w:t>PSO</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-13970</wp:posOffset>
                </wp:positionH>
                <wp:positionV relativeFrom="paragraph">
                  <wp:posOffset>66040</wp:posOffset>
                </wp:positionV>
                <wp:extent cx="21202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120265" cy="4763"/>
                        </a:xfrm>
                        <a:prstGeom prst="line">
                          <a:avLst/>
                        </a:prstGeom>
                        <a:solidFill>
                          <a:srgbClr val="FFFFFF"/>
                        </a:solidFill>
                        <a:ln w="3175">
                          <a:solidFill>
                            <a:srgbClr val="595959"/>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999pt,5.2pt" to="165.85pt,5.2pt" o:allowincell="f" strokecolor="#595959" strokeweight="0.25pt"/>
            </w:pict>
          </mc:Fallback>
        </mc:AlternateContent>
      </w:r>
    </w:p>
    <w:p>
      <w:pPr>
        <w:spacing w:after="0" w:line="130" w:lineRule="exact"/>
        <w:rPr>
          <w:sz w:val="20"/>
          <w:szCs w:val="20"/>
          <w:color w:val="auto"/>
        </w:rPr>
      </w:pPr>
    </w:p>
    <w:p>
      <w:pPr>
        <w:ind w:left="1600"/>
        <w:spacing w:after="0"/>
        <w:rPr>
          <w:sz w:val="20"/>
          <w:szCs w:val="20"/>
          <w:color w:val="auto"/>
        </w:rPr>
      </w:pPr>
      <w:r>
        <w:rPr>
          <w:rFonts w:ascii="Calibri" w:cs="Calibri" w:eastAsia="Calibri" w:hAnsi="Calibri"/>
          <w:sz w:val="14"/>
          <w:szCs w:val="14"/>
          <w:color w:val="auto"/>
        </w:rPr>
        <w:t>Source: PSX &amp; AKD Research</w:t>
      </w:r>
    </w:p>
    <w:p>
      <w:pPr>
        <w:sectPr>
          <w:pgSz w:w="12240" w:h="15840" w:orient="portrait"/>
          <w:cols w:equalWidth="0" w:num="2">
            <w:col w:w="7120" w:space="320"/>
            <w:col w:w="3300"/>
          </w:cols>
          <w:pgMar w:left="760" w:top="418" w:right="740" w:bottom="1440" w:gutter="0" w:footer="0" w:header="0"/>
        </w:sectPr>
      </w:pPr>
    </w:p>
    <w:bookmarkStart w:id="2" w:name="page3"/>
    <w:bookmarkEnd w:id="2"/>
    <w:p>
      <w:pPr>
        <w:spacing w:after="0"/>
        <w:rPr>
          <w:sz w:val="20"/>
          <w:szCs w:val="20"/>
          <w:color w:val="auto"/>
        </w:rPr>
      </w:pPr>
      <w:r>
        <w:rPr>
          <w:rFonts w:ascii="Calibri" w:cs="Calibri" w:eastAsia="Calibri" w:hAnsi="Calibri"/>
          <w:sz w:val="30"/>
          <w:szCs w:val="30"/>
          <w:b w:val="1"/>
          <w:bCs w:val="1"/>
          <w:color w:val="FFFFFF"/>
        </w:rPr>
        <w:drawing>
          <wp:anchor simplePos="0" relativeHeight="251657728" behindDoc="1" locked="0" layoutInCell="0" allowOverlap="1">
            <wp:simplePos x="0" y="0"/>
            <wp:positionH relativeFrom="page">
              <wp:posOffset>2540</wp:posOffset>
            </wp:positionH>
            <wp:positionV relativeFrom="page">
              <wp:posOffset>0</wp:posOffset>
            </wp:positionV>
            <wp:extent cx="3783965" cy="3206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3783965" cy="320675"/>
                    </a:xfrm>
                    <a:prstGeom prst="rect">
                      <a:avLst/>
                    </a:prstGeom>
                    <a:noFill/>
                  </pic:spPr>
                </pic:pic>
              </a:graphicData>
            </a:graphic>
          </wp:anchor>
        </w:drawing>
        <w:t>AKD RESEARCH</w:t>
      </w:r>
    </w:p>
    <w:p>
      <w:pPr>
        <w:spacing w:after="0" w:line="365" w:lineRule="exact"/>
        <w:rPr>
          <w:sz w:val="20"/>
          <w:szCs w:val="20"/>
          <w:color w:val="auto"/>
        </w:rPr>
      </w:pPr>
    </w:p>
    <w:p>
      <w:pPr>
        <w:spacing w:after="0"/>
        <w:rPr>
          <w:sz w:val="20"/>
          <w:szCs w:val="20"/>
          <w:color w:val="auto"/>
        </w:rPr>
      </w:pPr>
      <w:r>
        <w:rPr>
          <w:rFonts w:ascii="Calibri" w:cs="Calibri" w:eastAsia="Calibri" w:hAnsi="Calibri"/>
          <w:sz w:val="18"/>
          <w:szCs w:val="18"/>
          <w:b w:val="1"/>
          <w:bCs w:val="1"/>
          <w:color w:val="063D71"/>
        </w:rPr>
        <w:t>Disclosure Section</w:t>
      </w:r>
    </w:p>
    <w:p>
      <w:pPr>
        <w:spacing w:after="0" w:line="66" w:lineRule="exact"/>
        <w:rPr>
          <w:sz w:val="20"/>
          <w:szCs w:val="20"/>
          <w:color w:val="auto"/>
        </w:rPr>
      </w:pPr>
    </w:p>
    <w:p>
      <w:pPr>
        <w:jc w:val="both"/>
        <w:spacing w:after="0" w:line="224" w:lineRule="auto"/>
        <w:rPr>
          <w:sz w:val="20"/>
          <w:szCs w:val="20"/>
          <w:color w:val="auto"/>
        </w:rPr>
      </w:pPr>
      <w:r>
        <w:rPr>
          <w:rFonts w:ascii="Calibri" w:cs="Calibri" w:eastAsia="Calibri" w:hAnsi="Calibri"/>
          <w:sz w:val="16"/>
          <w:szCs w:val="16"/>
          <w:color w:val="auto"/>
        </w:rPr>
        <w:t>Neither the information nor any opinion expressed herein constitutes an offer or a solicitation of an offer to transact in any securities or other financial instrument and is for the personal information of the recipient containing general information only. AKD Securities Limited (hereinafter referred as AKDS) is not soliciting any action based upon it. This report is not intended to provide personal investment advice nor does it provide individually tailored investment advice. This report does not take into account the specific investment objectives, financial situation/financial circumstances and the particular needs of any specific person. Investors should seek financial advice regarding the appropriateness of investing in financial instruments and implementing investment strategies discussed or recommended in this report and should understand that statements regarding future prospects may not be realized. AKDS recommends that investors independently evaluate particular investments and strategies and it encourages investors to seek the advice of a financial advisor.</w:t>
      </w:r>
    </w:p>
    <w:p>
      <w:pPr>
        <w:spacing w:after="0" w:line="64" w:lineRule="exact"/>
        <w:rPr>
          <w:sz w:val="20"/>
          <w:szCs w:val="20"/>
          <w:color w:val="auto"/>
        </w:rPr>
      </w:pPr>
    </w:p>
    <w:p>
      <w:pPr>
        <w:jc w:val="both"/>
        <w:spacing w:after="0" w:line="213" w:lineRule="auto"/>
        <w:rPr>
          <w:sz w:val="20"/>
          <w:szCs w:val="20"/>
          <w:color w:val="auto"/>
        </w:rPr>
      </w:pPr>
      <w:r>
        <w:rPr>
          <w:rFonts w:ascii="Calibri" w:cs="Calibri" w:eastAsia="Calibri" w:hAnsi="Calibri"/>
          <w:sz w:val="16"/>
          <w:szCs w:val="16"/>
          <w:color w:val="auto"/>
        </w:rPr>
        <w:t>The appropriateness of a particular investment or strategy will depend on an investor's individual circumstances and objectives. The securities or strategies dis-cussed in this report may not be suitable for all investors, and certain investors may not be eligible to purchase or participate in some or all of them.</w:t>
      </w:r>
    </w:p>
    <w:p>
      <w:pPr>
        <w:spacing w:after="0" w:line="64" w:lineRule="exact"/>
        <w:rPr>
          <w:sz w:val="20"/>
          <w:szCs w:val="20"/>
          <w:color w:val="auto"/>
        </w:rPr>
      </w:pPr>
    </w:p>
    <w:p>
      <w:pPr>
        <w:jc w:val="both"/>
        <w:spacing w:after="0" w:line="221" w:lineRule="auto"/>
        <w:rPr>
          <w:sz w:val="20"/>
          <w:szCs w:val="20"/>
          <w:color w:val="auto"/>
        </w:rPr>
      </w:pPr>
      <w:r>
        <w:rPr>
          <w:rFonts w:ascii="Calibri" w:cs="Calibri" w:eastAsia="Calibri" w:hAnsi="Calibri"/>
          <w:sz w:val="16"/>
          <w:szCs w:val="16"/>
          <w:color w:val="auto"/>
        </w:rPr>
        <w:t>Reports prepared by AKDS research personnel are based on public information. AKDS makes every effort to use reliable, comprehensive information, but we make no representation that it is accurate or complete. Facts and views presented in this report have not been reviewed by and may not reflect information known to professionals in other business areas of AKDS including investment banking personnel. AKDS has established information barriers between certain business groups maintaining complete independence of this research report.</w:t>
      </w:r>
    </w:p>
    <w:p>
      <w:pPr>
        <w:spacing w:after="0" w:line="63" w:lineRule="exact"/>
        <w:rPr>
          <w:sz w:val="20"/>
          <w:szCs w:val="20"/>
          <w:color w:val="auto"/>
        </w:rPr>
      </w:pPr>
    </w:p>
    <w:p>
      <w:pPr>
        <w:jc w:val="both"/>
        <w:spacing w:after="0" w:line="221" w:lineRule="auto"/>
        <w:rPr>
          <w:sz w:val="20"/>
          <w:szCs w:val="20"/>
          <w:color w:val="auto"/>
        </w:rPr>
      </w:pPr>
      <w:r>
        <w:rPr>
          <w:rFonts w:ascii="Calibri" w:cs="Calibri" w:eastAsia="Calibri" w:hAnsi="Calibri"/>
          <w:sz w:val="16"/>
          <w:szCs w:val="16"/>
          <w:color w:val="auto"/>
        </w:rPr>
        <w:t>This report has been prepared independently of any issuer of securities mentioned herein and not in connection with any proposed offering of securities or as agent of any issuer of any securities. Neither AKDS, nor any of its affiliates or their research analysts have any authority whatsoever to make any representation or war-ranty on behalf of the issuer(s). AKDS Research Policy prohibits research personnel from disclosing a recommendation, investment rating, or investment thesis for review by an issuer prior to the publication of a research report containing such rating, recommendation or investment thesis.</w:t>
      </w:r>
    </w:p>
    <w:p>
      <w:pPr>
        <w:spacing w:after="0" w:line="63" w:lineRule="exact"/>
        <w:rPr>
          <w:sz w:val="20"/>
          <w:szCs w:val="20"/>
          <w:color w:val="auto"/>
        </w:rPr>
      </w:pPr>
    </w:p>
    <w:p>
      <w:pPr>
        <w:jc w:val="both"/>
        <w:spacing w:after="0" w:line="222" w:lineRule="auto"/>
        <w:rPr>
          <w:sz w:val="20"/>
          <w:szCs w:val="20"/>
          <w:color w:val="auto"/>
        </w:rPr>
      </w:pPr>
      <w:r>
        <w:rPr>
          <w:rFonts w:ascii="Calibri" w:cs="Calibri" w:eastAsia="Calibri" w:hAnsi="Calibri"/>
          <w:sz w:val="16"/>
          <w:szCs w:val="16"/>
          <w:color w:val="auto"/>
        </w:rPr>
        <w:t>We have taken all reasonable care to ensure that the information contained herein is accurate, up to date, and complies with all prevailing Pakistani legislations. However, no liability can be accepted for any errors or omissions, or for any loss resulting from the use of the information provided as any data and research mate-rial provided ahead of an investment decision are for information purposes only. We shall not be liable for any errors in the provision of this information, or for any actions taken in reliance thereon. We reserve the right to amend, alter, or withdraw any of the information contained in these pages at any time and without no-tice. No liability is accepted for such changes.</w:t>
      </w:r>
    </w:p>
    <w:p>
      <w:pPr>
        <w:spacing w:after="0" w:line="29" w:lineRule="exact"/>
        <w:rPr>
          <w:sz w:val="20"/>
          <w:szCs w:val="20"/>
          <w:color w:val="auto"/>
        </w:rPr>
      </w:pPr>
    </w:p>
    <w:p>
      <w:pPr>
        <w:spacing w:after="0"/>
        <w:rPr>
          <w:sz w:val="20"/>
          <w:szCs w:val="20"/>
          <w:color w:val="auto"/>
        </w:rPr>
      </w:pPr>
      <w:r>
        <w:rPr>
          <w:rFonts w:ascii="Calibri" w:cs="Calibri" w:eastAsia="Calibri" w:hAnsi="Calibri"/>
          <w:sz w:val="18"/>
          <w:szCs w:val="18"/>
          <w:b w:val="1"/>
          <w:bCs w:val="1"/>
          <w:color w:val="063D71"/>
        </w:rPr>
        <w:t>Stock Ratings</w:t>
      </w:r>
    </w:p>
    <w:p>
      <w:pPr>
        <w:spacing w:after="0" w:line="66" w:lineRule="exact"/>
        <w:rPr>
          <w:sz w:val="20"/>
          <w:szCs w:val="20"/>
          <w:color w:val="auto"/>
        </w:rPr>
      </w:pPr>
    </w:p>
    <w:p>
      <w:pPr>
        <w:jc w:val="both"/>
        <w:spacing w:after="0" w:line="222" w:lineRule="auto"/>
        <w:rPr>
          <w:sz w:val="20"/>
          <w:szCs w:val="20"/>
          <w:color w:val="auto"/>
        </w:rPr>
      </w:pPr>
      <w:r>
        <w:rPr>
          <w:rFonts w:ascii="Calibri" w:cs="Calibri" w:eastAsia="Calibri" w:hAnsi="Calibri"/>
          <w:sz w:val="16"/>
          <w:szCs w:val="16"/>
          <w:color w:val="auto"/>
        </w:rPr>
        <w:t>Investors should carefully read the definitions of all ratings used in each research report. In addition, research reports contain information carrying the analyst's view and investors should carefully read the entire research report and not infer its contents from the rating ascribed by the analyst. In any case, ratings or research should not be used or relied upon as investment advice. An investor's decision to buy, sell or hold a stock should depend on individual circumstances and other considerations. AKDS uses a three tier rating system: i) Buy, ii) Neutral and iii) Sell with total returns (capital upside + dividend yield) benchmarked against the ex-pected one year forward floating (variable) risk free rate (10yr PIB) plus risk premium.</w:t>
      </w:r>
    </w:p>
    <w:p>
      <w:pPr>
        <w:sectPr>
          <w:pgSz w:w="12240" w:h="15840" w:orient="portrait"/>
          <w:cols w:equalWidth="0" w:num="1">
            <w:col w:w="10680"/>
          </w:cols>
          <w:pgMar w:left="780" w:top="58" w:right="780" w:bottom="243" w:gutter="0" w:footer="0" w:header="0"/>
        </w:sectPr>
      </w:pPr>
    </w:p>
    <w:p>
      <w:pPr>
        <w:spacing w:after="0" w:line="28" w:lineRule="exact"/>
        <w:rPr>
          <w:sz w:val="20"/>
          <w:szCs w:val="20"/>
          <w:color w:val="auto"/>
        </w:rPr>
      </w:pPr>
    </w:p>
    <w:p>
      <w:pPr>
        <w:spacing w:after="0"/>
        <w:rPr>
          <w:sz w:val="20"/>
          <w:szCs w:val="20"/>
          <w:color w:val="auto"/>
        </w:rPr>
      </w:pPr>
      <w:r>
        <w:rPr>
          <w:rFonts w:ascii="Calibri" w:cs="Calibri" w:eastAsia="Calibri" w:hAnsi="Calibri"/>
          <w:sz w:val="18"/>
          <w:szCs w:val="18"/>
          <w:b w:val="1"/>
          <w:bCs w:val="1"/>
          <w:color w:val="063D71"/>
        </w:rPr>
        <w:t>Valuation Methodology</w:t>
      </w:r>
    </w:p>
    <w:p>
      <w:pPr>
        <w:spacing w:after="0" w:line="66" w:lineRule="exact"/>
        <w:rPr>
          <w:sz w:val="20"/>
          <w:szCs w:val="20"/>
          <w:color w:val="auto"/>
        </w:rPr>
      </w:pPr>
    </w:p>
    <w:p>
      <w:pPr>
        <w:ind w:right="1040"/>
        <w:spacing w:after="0" w:line="237" w:lineRule="auto"/>
        <w:rPr>
          <w:sz w:val="20"/>
          <w:szCs w:val="20"/>
          <w:color w:val="auto"/>
        </w:rPr>
      </w:pPr>
      <w:r>
        <w:rPr>
          <w:rFonts w:ascii="Calibri" w:cs="Calibri" w:eastAsia="Calibri" w:hAnsi="Calibri"/>
          <w:sz w:val="16"/>
          <w:szCs w:val="16"/>
          <w:color w:val="auto"/>
        </w:rPr>
        <w:t>To arrive at our period end target prices, AKDS uses different valuation techniques including:</w:t>
      </w:r>
    </w:p>
    <w:p>
      <w:pPr>
        <w:spacing w:after="0" w:line="230" w:lineRule="auto"/>
        <w:rPr>
          <w:sz w:val="20"/>
          <w:szCs w:val="20"/>
          <w:color w:val="auto"/>
        </w:rPr>
      </w:pPr>
      <w:r>
        <w:rPr>
          <w:rFonts w:ascii="Calibri" w:cs="Calibri" w:eastAsia="Calibri" w:hAnsi="Calibri"/>
          <w:sz w:val="16"/>
          <w:szCs w:val="16"/>
          <w:color w:val="auto"/>
        </w:rPr>
        <w:t>Discounted Cash Flow (DCF, DDM)</w:t>
      </w:r>
    </w:p>
    <w:p>
      <w:pPr>
        <w:spacing w:after="0" w:line="81" w:lineRule="exact"/>
        <w:rPr>
          <w:sz w:val="20"/>
          <w:szCs w:val="20"/>
          <w:color w:val="auto"/>
        </w:rPr>
      </w:pPr>
    </w:p>
    <w:p>
      <w:pPr>
        <w:spacing w:after="0" w:line="235" w:lineRule="auto"/>
        <w:rPr>
          <w:sz w:val="20"/>
          <w:szCs w:val="20"/>
          <w:color w:val="auto"/>
        </w:rPr>
      </w:pPr>
      <w:r>
        <w:rPr>
          <w:rFonts w:ascii="Calibri" w:cs="Calibri" w:eastAsia="Calibri" w:hAnsi="Calibri"/>
          <w:sz w:val="16"/>
          <w:szCs w:val="16"/>
          <w:color w:val="auto"/>
        </w:rPr>
        <w:t>Relative Valuation (P/E, P/B, P/S etc.)</w:t>
      </w:r>
    </w:p>
    <w:p>
      <w:pPr>
        <w:spacing w:after="0" w:line="82" w:lineRule="exact"/>
        <w:rPr>
          <w:sz w:val="20"/>
          <w:szCs w:val="20"/>
          <w:color w:val="auto"/>
        </w:rPr>
      </w:pPr>
    </w:p>
    <w:p>
      <w:pPr>
        <w:spacing w:after="0" w:line="236" w:lineRule="auto"/>
        <w:rPr>
          <w:sz w:val="20"/>
          <w:szCs w:val="20"/>
          <w:color w:val="auto"/>
        </w:rPr>
      </w:pPr>
      <w:r>
        <w:rPr>
          <w:rFonts w:ascii="Calibri" w:cs="Calibri" w:eastAsia="Calibri" w:hAnsi="Calibri"/>
          <w:sz w:val="16"/>
          <w:szCs w:val="16"/>
          <w:color w:val="auto"/>
        </w:rPr>
        <w:t>Equity &amp; Asset return based methodologies (EVA, Residual Income etc.)</w:t>
      </w:r>
    </w:p>
    <w:p>
      <w:pPr>
        <w:spacing w:after="0" w:line="20" w:lineRule="exact"/>
        <w:rPr>
          <w:sz w:val="20"/>
          <w:szCs w:val="20"/>
          <w:color w:val="auto"/>
        </w:rPr>
      </w:pPr>
      <w:r>
        <w:rPr>
          <w:sz w:val="20"/>
          <w:szCs w:val="20"/>
          <w:color w:val="auto"/>
        </w:rPr>
        <w:br w:type="column"/>
      </w:r>
    </w:p>
    <w:p>
      <w:pPr>
        <w:spacing w:after="0" w:line="310" w:lineRule="exact"/>
        <w:rPr>
          <w:sz w:val="20"/>
          <w:szCs w:val="20"/>
          <w:color w:val="auto"/>
        </w:rPr>
      </w:pPr>
    </w:p>
    <w:p>
      <w:pPr>
        <w:spacing w:after="0"/>
        <w:rPr>
          <w:sz w:val="20"/>
          <w:szCs w:val="20"/>
          <w:color w:val="auto"/>
        </w:rPr>
      </w:pPr>
      <w:r>
        <w:rPr>
          <w:rFonts w:ascii="Calibri" w:cs="Calibri" w:eastAsia="Calibri" w:hAnsi="Calibri"/>
          <w:sz w:val="15"/>
          <w:szCs w:val="15"/>
          <w:i w:val="1"/>
          <w:iCs w:val="1"/>
          <w:color w:val="auto"/>
        </w:rPr>
        <w:t>New Rating Definitions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17145</wp:posOffset>
                </wp:positionV>
                <wp:extent cx="317563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635"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1.35pt" to="249.7pt,1.35pt" o:allowincell="f" strokecolor="#000000" strokeweight="0.5999pt"/>
            </w:pict>
          </mc:Fallback>
        </mc:AlternateContent>
      </w:r>
    </w:p>
    <w:p>
      <w:pPr>
        <w:spacing w:after="0" w:line="30" w:lineRule="exact"/>
        <w:rPr>
          <w:sz w:val="20"/>
          <w:szCs w:val="20"/>
          <w:color w:val="auto"/>
        </w:rPr>
      </w:pPr>
    </w:p>
    <w:tbl>
      <w:tblPr>
        <w:tblLayout w:type="fixed"/>
        <w:tblInd w:w="0" w:type="dxa"/>
        <w:tblCellMar>
          <w:top w:w="0" w:type="dxa"/>
          <w:left w:w="0" w:type="dxa"/>
          <w:bottom w:w="0" w:type="dxa"/>
          <w:right w:w="0" w:type="dxa"/>
        </w:tblCellMar>
      </w:tblPr>
      <w:tr>
        <w:trPr>
          <w:trHeight w:val="200"/>
        </w:trPr>
        <w:tc>
          <w:tcPr>
            <w:tcW w:w="1060" w:type="dxa"/>
            <w:vAlign w:val="bottom"/>
            <w:tcBorders>
              <w:bottom w:val="single" w:sz="8" w:color="auto"/>
            </w:tcBorders>
          </w:tcPr>
          <w:p>
            <w:pPr>
              <w:spacing w:after="0"/>
              <w:rPr>
                <w:sz w:val="20"/>
                <w:szCs w:val="20"/>
                <w:color w:val="auto"/>
              </w:rPr>
            </w:pPr>
            <w:r>
              <w:rPr>
                <w:rFonts w:ascii="Calibri" w:cs="Calibri" w:eastAsia="Calibri" w:hAnsi="Calibri"/>
                <w:sz w:val="15"/>
                <w:szCs w:val="15"/>
                <w:color w:val="auto"/>
              </w:rPr>
              <w:t>Buy</w:t>
            </w:r>
          </w:p>
        </w:tc>
        <w:tc>
          <w:tcPr>
            <w:tcW w:w="2400" w:type="dxa"/>
            <w:vAlign w:val="bottom"/>
            <w:tcBorders>
              <w:bottom w:val="single" w:sz="8" w:color="auto"/>
            </w:tcBorders>
          </w:tcPr>
          <w:p>
            <w:pPr>
              <w:ind w:left="600"/>
              <w:spacing w:after="0" w:line="191" w:lineRule="exact"/>
              <w:rPr>
                <w:sz w:val="20"/>
                <w:szCs w:val="20"/>
                <w:color w:val="auto"/>
              </w:rPr>
            </w:pPr>
            <w:r>
              <w:rPr>
                <w:rFonts w:ascii="SimSun" w:cs="SimSun" w:eastAsia="SimSun" w:hAnsi="SimSun"/>
                <w:sz w:val="15"/>
                <w:szCs w:val="15"/>
                <w:color w:val="auto"/>
              </w:rPr>
              <w:t>&gt;</w:t>
            </w:r>
            <w:r>
              <w:rPr>
                <w:rFonts w:ascii="Calibri" w:cs="Calibri" w:eastAsia="Calibri" w:hAnsi="Calibri"/>
                <w:sz w:val="15"/>
                <w:szCs w:val="15"/>
                <w:color w:val="auto"/>
              </w:rPr>
              <w:t xml:space="preserve"> 30</w:t>
            </w:r>
            <w:r>
              <w:rPr>
                <w:rFonts w:ascii="SimSun" w:cs="SimSun" w:eastAsia="SimSun" w:hAnsi="SimSun"/>
                <w:sz w:val="15"/>
                <w:szCs w:val="15"/>
                <w:color w:val="auto"/>
              </w:rPr>
              <w:t>%</w:t>
            </w:r>
            <w:r>
              <w:rPr>
                <w:rFonts w:ascii="Calibri" w:cs="Calibri" w:eastAsia="Calibri" w:hAnsi="Calibri"/>
                <w:sz w:val="15"/>
                <w:szCs w:val="15"/>
                <w:color w:val="auto"/>
              </w:rPr>
              <w:t xml:space="preserve"> expected total return</w:t>
            </w:r>
          </w:p>
        </w:tc>
        <w:tc>
          <w:tcPr>
            <w:tcW w:w="1560" w:type="dxa"/>
            <w:vAlign w:val="bottom"/>
            <w:tcBorders>
              <w:bottom w:val="single" w:sz="8" w:color="auto"/>
            </w:tcBorders>
          </w:tcPr>
          <w:p>
            <w:pPr>
              <w:ind w:left="40"/>
              <w:spacing w:after="0" w:line="191" w:lineRule="exact"/>
              <w:rPr>
                <w:sz w:val="20"/>
                <w:szCs w:val="20"/>
                <w:color w:val="auto"/>
              </w:rPr>
            </w:pPr>
            <w:r>
              <w:rPr>
                <w:rFonts w:ascii="SimSun" w:cs="SimSun" w:eastAsia="SimSun" w:hAnsi="SimSun"/>
                <w:sz w:val="15"/>
                <w:szCs w:val="15"/>
                <w:color w:val="auto"/>
              </w:rPr>
              <w:t>(</w:t>
            </w:r>
            <w:r>
              <w:rPr>
                <w:rFonts w:ascii="Calibri" w:cs="Calibri" w:eastAsia="Calibri" w:hAnsi="Calibri"/>
                <w:sz w:val="15"/>
                <w:szCs w:val="15"/>
                <w:color w:val="auto"/>
              </w:rPr>
              <w:t>Rf: 21</w:t>
            </w:r>
            <w:r>
              <w:rPr>
                <w:rFonts w:ascii="SimSun" w:cs="SimSun" w:eastAsia="SimSun" w:hAnsi="SimSun"/>
                <w:sz w:val="15"/>
                <w:szCs w:val="15"/>
                <w:color w:val="auto"/>
              </w:rPr>
              <w:t>% +</w:t>
            </w:r>
            <w:r>
              <w:rPr>
                <w:rFonts w:ascii="Calibri" w:cs="Calibri" w:eastAsia="Calibri" w:hAnsi="Calibri"/>
                <w:sz w:val="15"/>
                <w:szCs w:val="15"/>
                <w:color w:val="auto"/>
              </w:rPr>
              <w:t xml:space="preserve"> Rp: 9</w:t>
            </w:r>
            <w:r>
              <w:rPr>
                <w:rFonts w:ascii="SimSun" w:cs="SimSun" w:eastAsia="SimSun" w:hAnsi="SimSun"/>
                <w:sz w:val="15"/>
                <w:szCs w:val="15"/>
                <w:color w:val="auto"/>
              </w:rPr>
              <w:t>%)</w:t>
            </w:r>
          </w:p>
        </w:tc>
      </w:tr>
      <w:tr>
        <w:trPr>
          <w:trHeight w:val="213"/>
        </w:trPr>
        <w:tc>
          <w:tcPr>
            <w:tcW w:w="1060" w:type="dxa"/>
            <w:vAlign w:val="bottom"/>
            <w:tcBorders>
              <w:bottom w:val="single" w:sz="8" w:color="auto"/>
            </w:tcBorders>
          </w:tcPr>
          <w:p>
            <w:pPr>
              <w:spacing w:after="0"/>
              <w:rPr>
                <w:sz w:val="20"/>
                <w:szCs w:val="20"/>
                <w:color w:val="auto"/>
              </w:rPr>
            </w:pPr>
            <w:r>
              <w:rPr>
                <w:rFonts w:ascii="Calibri" w:cs="Calibri" w:eastAsia="Calibri" w:hAnsi="Calibri"/>
                <w:sz w:val="15"/>
                <w:szCs w:val="15"/>
                <w:color w:val="auto"/>
              </w:rPr>
              <w:t>Neutral</w:t>
            </w:r>
          </w:p>
        </w:tc>
        <w:tc>
          <w:tcPr>
            <w:tcW w:w="3940" w:type="dxa"/>
            <w:vAlign w:val="bottom"/>
            <w:tcBorders>
              <w:bottom w:val="single" w:sz="8" w:color="auto"/>
            </w:tcBorders>
            <w:gridSpan w:val="2"/>
          </w:tcPr>
          <w:p>
            <w:pPr>
              <w:ind w:left="600"/>
              <w:spacing w:after="0" w:line="191" w:lineRule="exact"/>
              <w:rPr>
                <w:sz w:val="20"/>
                <w:szCs w:val="20"/>
                <w:color w:val="auto"/>
              </w:rPr>
            </w:pPr>
            <w:r>
              <w:rPr>
                <w:rFonts w:ascii="SimSun" w:cs="SimSun" w:eastAsia="SimSun" w:hAnsi="SimSun"/>
                <w:sz w:val="15"/>
                <w:szCs w:val="15"/>
                <w:color w:val="auto"/>
              </w:rPr>
              <w:t>&gt;</w:t>
            </w:r>
            <w:r>
              <w:rPr>
                <w:rFonts w:ascii="Calibri" w:cs="Calibri" w:eastAsia="Calibri" w:hAnsi="Calibri"/>
                <w:sz w:val="15"/>
                <w:szCs w:val="15"/>
                <w:color w:val="auto"/>
              </w:rPr>
              <w:t xml:space="preserve"> 21</w:t>
            </w:r>
            <w:r>
              <w:rPr>
                <w:rFonts w:ascii="SimSun" w:cs="SimSun" w:eastAsia="SimSun" w:hAnsi="SimSun"/>
                <w:sz w:val="15"/>
                <w:szCs w:val="15"/>
                <w:color w:val="auto"/>
              </w:rPr>
              <w:t>%</w:t>
            </w:r>
            <w:r>
              <w:rPr>
                <w:rFonts w:ascii="Calibri" w:cs="Calibri" w:eastAsia="Calibri" w:hAnsi="Calibri"/>
                <w:sz w:val="15"/>
                <w:szCs w:val="15"/>
                <w:color w:val="auto"/>
              </w:rPr>
              <w:t xml:space="preserve"> to</w:t>
            </w:r>
            <w:r>
              <w:rPr>
                <w:rFonts w:ascii="SimSun" w:cs="SimSun" w:eastAsia="SimSun" w:hAnsi="SimSun"/>
                <w:sz w:val="15"/>
                <w:szCs w:val="15"/>
                <w:color w:val="auto"/>
              </w:rPr>
              <w:t xml:space="preserve"> &lt;</w:t>
            </w:r>
            <w:r>
              <w:rPr>
                <w:rFonts w:ascii="Calibri" w:cs="Calibri" w:eastAsia="Calibri" w:hAnsi="Calibri"/>
                <w:sz w:val="15"/>
                <w:szCs w:val="15"/>
                <w:color w:val="auto"/>
              </w:rPr>
              <w:t xml:space="preserve"> 30% expected total return</w:t>
            </w:r>
          </w:p>
        </w:tc>
      </w:tr>
      <w:tr>
        <w:trPr>
          <w:trHeight w:val="208"/>
        </w:trPr>
        <w:tc>
          <w:tcPr>
            <w:tcW w:w="1060" w:type="dxa"/>
            <w:vAlign w:val="bottom"/>
          </w:tcPr>
          <w:p>
            <w:pPr>
              <w:spacing w:after="0"/>
              <w:rPr>
                <w:sz w:val="20"/>
                <w:szCs w:val="20"/>
                <w:color w:val="auto"/>
              </w:rPr>
            </w:pPr>
            <w:r>
              <w:rPr>
                <w:rFonts w:ascii="Calibri" w:cs="Calibri" w:eastAsia="Calibri" w:hAnsi="Calibri"/>
                <w:sz w:val="15"/>
                <w:szCs w:val="15"/>
                <w:color w:val="auto"/>
              </w:rPr>
              <w:t>Sell</w:t>
            </w:r>
          </w:p>
        </w:tc>
        <w:tc>
          <w:tcPr>
            <w:tcW w:w="2400" w:type="dxa"/>
            <w:vAlign w:val="bottom"/>
          </w:tcPr>
          <w:p>
            <w:pPr>
              <w:ind w:left="600"/>
              <w:spacing w:after="0" w:line="191" w:lineRule="exact"/>
              <w:rPr>
                <w:sz w:val="20"/>
                <w:szCs w:val="20"/>
                <w:color w:val="auto"/>
              </w:rPr>
            </w:pPr>
            <w:r>
              <w:rPr>
                <w:rFonts w:ascii="SimSun" w:cs="SimSun" w:eastAsia="SimSun" w:hAnsi="SimSun"/>
                <w:sz w:val="15"/>
                <w:szCs w:val="15"/>
                <w:color w:val="auto"/>
              </w:rPr>
              <w:t>&lt;</w:t>
            </w:r>
            <w:r>
              <w:rPr>
                <w:rFonts w:ascii="Calibri" w:cs="Calibri" w:eastAsia="Calibri" w:hAnsi="Calibri"/>
                <w:sz w:val="15"/>
                <w:szCs w:val="15"/>
                <w:color w:val="auto"/>
              </w:rPr>
              <w:t xml:space="preserve"> 21</w:t>
            </w:r>
            <w:r>
              <w:rPr>
                <w:rFonts w:ascii="SimSun" w:cs="SimSun" w:eastAsia="SimSun" w:hAnsi="SimSun"/>
                <w:sz w:val="15"/>
                <w:szCs w:val="15"/>
                <w:color w:val="auto"/>
              </w:rPr>
              <w:t>%</w:t>
            </w:r>
            <w:r>
              <w:rPr>
                <w:rFonts w:ascii="Calibri" w:cs="Calibri" w:eastAsia="Calibri" w:hAnsi="Calibri"/>
                <w:sz w:val="15"/>
                <w:szCs w:val="15"/>
                <w:color w:val="auto"/>
              </w:rPr>
              <w:t xml:space="preserve"> expected total return</w:t>
            </w:r>
          </w:p>
        </w:tc>
        <w:tc>
          <w:tcPr>
            <w:tcW w:w="1560" w:type="dxa"/>
            <w:vAlign w:val="bottom"/>
          </w:tcPr>
          <w:p>
            <w:pPr>
              <w:ind w:left="40"/>
              <w:spacing w:after="0" w:line="191" w:lineRule="exact"/>
              <w:rPr>
                <w:sz w:val="20"/>
                <w:szCs w:val="20"/>
                <w:color w:val="auto"/>
              </w:rPr>
            </w:pPr>
            <w:r>
              <w:rPr>
                <w:rFonts w:ascii="SimSun" w:cs="SimSun" w:eastAsia="SimSun" w:hAnsi="SimSun"/>
                <w:sz w:val="15"/>
                <w:szCs w:val="15"/>
                <w:color w:val="auto"/>
              </w:rPr>
              <w:t>(</w:t>
            </w:r>
            <w:r>
              <w:rPr>
                <w:rFonts w:ascii="Calibri" w:cs="Calibri" w:eastAsia="Calibri" w:hAnsi="Calibri"/>
                <w:sz w:val="15"/>
                <w:szCs w:val="15"/>
                <w:color w:val="auto"/>
              </w:rPr>
              <w:t>Rf: 21%</w:t>
            </w:r>
            <w:r>
              <w:rPr>
                <w:rFonts w:ascii="SimSun" w:cs="SimSun" w:eastAsia="SimSun" w:hAnsi="SimSun"/>
                <w:sz w:val="15"/>
                <w:szCs w:val="15"/>
                <w:color w:val="auto"/>
              </w:rPr>
              <w:t>)</w:t>
            </w:r>
          </w:p>
        </w:tc>
      </w:tr>
    </w:tbl>
    <w:p>
      <w:pPr>
        <w:spacing w:after="0" w:line="321" w:lineRule="exact"/>
        <w:rPr>
          <w:sz w:val="20"/>
          <w:szCs w:val="20"/>
          <w:color w:val="auto"/>
        </w:rPr>
      </w:pPr>
    </w:p>
    <w:p>
      <w:pPr>
        <w:sectPr>
          <w:pgSz w:w="12240" w:h="15840" w:orient="portrait"/>
          <w:cols w:equalWidth="0" w:num="2">
            <w:col w:w="5000" w:space="440"/>
            <w:col w:w="5240"/>
          </w:cols>
          <w:pgMar w:left="780" w:top="58" w:right="780" w:bottom="243" w:gutter="0" w:footer="0" w:header="0"/>
          <w:type w:val="continuous"/>
        </w:sectPr>
      </w:pPr>
    </w:p>
    <w:p>
      <w:pPr>
        <w:spacing w:after="0"/>
        <w:rPr>
          <w:sz w:val="20"/>
          <w:szCs w:val="20"/>
          <w:color w:val="auto"/>
        </w:rPr>
      </w:pPr>
      <w:r>
        <w:rPr>
          <w:rFonts w:ascii="Calibri" w:cs="Calibri" w:eastAsia="Calibri" w:hAnsi="Calibri"/>
          <w:sz w:val="18"/>
          <w:szCs w:val="18"/>
          <w:b w:val="1"/>
          <w:bCs w:val="1"/>
          <w:color w:val="063D71"/>
        </w:rPr>
        <w:t>Analyst Certification of Independence</w:t>
      </w:r>
    </w:p>
    <w:p>
      <w:pPr>
        <w:spacing w:after="0" w:line="68" w:lineRule="exact"/>
        <w:rPr>
          <w:sz w:val="20"/>
          <w:szCs w:val="20"/>
          <w:color w:val="auto"/>
        </w:rPr>
      </w:pPr>
    </w:p>
    <w:p>
      <w:pPr>
        <w:jc w:val="both"/>
        <w:spacing w:after="0" w:line="213" w:lineRule="auto"/>
        <w:rPr>
          <w:sz w:val="20"/>
          <w:szCs w:val="20"/>
          <w:color w:val="auto"/>
        </w:rPr>
      </w:pPr>
      <w:r>
        <w:rPr>
          <w:rFonts w:ascii="Calibri" w:cs="Calibri" w:eastAsia="Calibri" w:hAnsi="Calibri"/>
          <w:sz w:val="16"/>
          <w:szCs w:val="16"/>
          <w:color w:val="auto"/>
        </w:rPr>
        <w:t>The analysts hereby certify that their views about the companies and their securities discussed in this report are accurately expressed and that they have not re-ceived and will not receive direct or indirect compensation in exchange for expressing specific recommendations or views in this report.</w:t>
      </w:r>
    </w:p>
    <w:p>
      <w:pPr>
        <w:spacing w:after="0" w:line="64" w:lineRule="exact"/>
        <w:rPr>
          <w:sz w:val="20"/>
          <w:szCs w:val="20"/>
          <w:color w:val="auto"/>
        </w:rPr>
      </w:pPr>
    </w:p>
    <w:p>
      <w:pPr>
        <w:jc w:val="both"/>
        <w:spacing w:after="0" w:line="213" w:lineRule="auto"/>
        <w:rPr>
          <w:sz w:val="20"/>
          <w:szCs w:val="20"/>
          <w:color w:val="auto"/>
        </w:rPr>
      </w:pPr>
      <w:r>
        <w:rPr>
          <w:rFonts w:ascii="Calibri" w:cs="Calibri" w:eastAsia="Calibri" w:hAnsi="Calibri"/>
          <w:sz w:val="16"/>
          <w:szCs w:val="16"/>
          <w:color w:val="auto"/>
        </w:rPr>
        <w:t>The research analysts, strategists or research associates principally having received compensation responsible for the preparation of this AKDS research report based upon various factors including quality of research, investor client feedback, stock picking, competitive factors and firm revenues.</w:t>
      </w:r>
    </w:p>
    <w:p>
      <w:pPr>
        <w:spacing w:after="0" w:line="25" w:lineRule="exact"/>
        <w:rPr>
          <w:sz w:val="20"/>
          <w:szCs w:val="20"/>
          <w:color w:val="auto"/>
        </w:rPr>
      </w:pPr>
    </w:p>
    <w:p>
      <w:pPr>
        <w:spacing w:after="0"/>
        <w:rPr>
          <w:sz w:val="20"/>
          <w:szCs w:val="20"/>
          <w:color w:val="auto"/>
        </w:rPr>
      </w:pPr>
      <w:r>
        <w:rPr>
          <w:rFonts w:ascii="Calibri" w:cs="Calibri" w:eastAsia="Calibri" w:hAnsi="Calibri"/>
          <w:sz w:val="18"/>
          <w:szCs w:val="18"/>
          <w:b w:val="1"/>
          <w:bCs w:val="1"/>
          <w:color w:val="063D71"/>
        </w:rPr>
        <w:t>Disclosure of Interest Area</w:t>
      </w:r>
    </w:p>
    <w:p>
      <w:pPr>
        <w:spacing w:after="0" w:line="68" w:lineRule="exact"/>
        <w:rPr>
          <w:sz w:val="20"/>
          <w:szCs w:val="20"/>
          <w:color w:val="auto"/>
        </w:rPr>
      </w:pPr>
    </w:p>
    <w:p>
      <w:pPr>
        <w:jc w:val="both"/>
        <w:spacing w:after="0" w:line="220" w:lineRule="auto"/>
        <w:rPr>
          <w:sz w:val="20"/>
          <w:szCs w:val="20"/>
          <w:color w:val="auto"/>
        </w:rPr>
      </w:pPr>
      <w:r>
        <w:rPr>
          <w:rFonts w:ascii="Calibri" w:cs="Calibri" w:eastAsia="Calibri" w:hAnsi="Calibri"/>
          <w:sz w:val="16"/>
          <w:szCs w:val="16"/>
          <w:color w:val="auto"/>
        </w:rPr>
        <w:t>AKDS and the authoring analyst do not have any interest in any companies recommended in this research report irrespective of the fact that AKD Securities Limited may have, within the last three years, served as manager or co-manager of a public offering of securities for, or currently may make a primary market in issues of, any or all of the entities mentioned in this report or may be providing, or have provided within the previous 12 months, significant advice or investment services in relation to the investment concerned or a related investment.</w:t>
      </w:r>
    </w:p>
    <w:p>
      <w:pPr>
        <w:spacing w:after="0" w:line="32" w:lineRule="exact"/>
        <w:rPr>
          <w:sz w:val="20"/>
          <w:szCs w:val="20"/>
          <w:color w:val="auto"/>
        </w:rPr>
      </w:pPr>
    </w:p>
    <w:p>
      <w:pPr>
        <w:spacing w:after="0"/>
        <w:rPr>
          <w:sz w:val="20"/>
          <w:szCs w:val="20"/>
          <w:color w:val="auto"/>
        </w:rPr>
      </w:pPr>
      <w:r>
        <w:rPr>
          <w:rFonts w:ascii="Calibri" w:cs="Calibri" w:eastAsia="Calibri" w:hAnsi="Calibri"/>
          <w:sz w:val="16"/>
          <w:szCs w:val="16"/>
          <w:color w:val="auto"/>
        </w:rPr>
        <w:t>Regional Disclosures (Outside Pakistan)</w:t>
      </w:r>
    </w:p>
    <w:p>
      <w:pPr>
        <w:spacing w:after="0" w:line="65" w:lineRule="exact"/>
        <w:rPr>
          <w:sz w:val="20"/>
          <w:szCs w:val="20"/>
          <w:color w:val="auto"/>
        </w:rPr>
      </w:pPr>
    </w:p>
    <w:p>
      <w:pPr>
        <w:jc w:val="both"/>
        <w:spacing w:after="0" w:line="218" w:lineRule="auto"/>
        <w:rPr>
          <w:sz w:val="20"/>
          <w:szCs w:val="20"/>
          <w:color w:val="auto"/>
        </w:rPr>
      </w:pPr>
      <w:r>
        <w:rPr>
          <w:rFonts w:ascii="Calibri" w:cs="Calibri" w:eastAsia="Calibri" w:hAnsi="Calibri"/>
          <w:sz w:val="16"/>
          <w:szCs w:val="16"/>
          <w:color w:val="auto"/>
        </w:rPr>
        <w:t>The information provided in this report and the report itself is not intended for distribution to, or use by, any person or entity in any jurisdiction or country where such distribution or use would be contrary to law or regulation or which would subject AKDS or its affiliates to any registration or licensing requirements within such jurisdiction or country.</w:t>
      </w:r>
    </w:p>
    <w:p>
      <w:pPr>
        <w:spacing w:after="0" w:line="64" w:lineRule="exact"/>
        <w:rPr>
          <w:sz w:val="20"/>
          <w:szCs w:val="20"/>
          <w:color w:val="auto"/>
        </w:rPr>
      </w:pPr>
    </w:p>
    <w:p>
      <w:pPr>
        <w:jc w:val="both"/>
        <w:spacing w:after="0" w:line="221" w:lineRule="auto"/>
        <w:rPr>
          <w:sz w:val="20"/>
          <w:szCs w:val="20"/>
          <w:color w:val="auto"/>
        </w:rPr>
      </w:pPr>
      <w:r>
        <w:rPr>
          <w:rFonts w:ascii="Calibri" w:cs="Calibri" w:eastAsia="Calibri" w:hAnsi="Calibri"/>
          <w:sz w:val="16"/>
          <w:szCs w:val="16"/>
          <w:color w:val="auto"/>
        </w:rPr>
        <w:t>Furthermore, all copyrights, patents, intellectual and other property in the information contained in this report are held by AKDS. No rights of any kind are licensed or assigned or shall otherwise pass to persons accessing this information. You may print copies of the report or information contained within herein for your own private non-commercial use only, provided that you do not change any copyright, trade mark or other proprietary notices. All other copying, reproducing, trans-mitting, distributing or displaying of material in this report (by any means and in whole or in part) is prohibited.</w:t>
      </w:r>
    </w:p>
    <w:p>
      <w:pPr>
        <w:spacing w:after="0" w:line="31" w:lineRule="exact"/>
        <w:rPr>
          <w:sz w:val="20"/>
          <w:szCs w:val="20"/>
          <w:color w:val="auto"/>
        </w:rPr>
      </w:pPr>
    </w:p>
    <w:p>
      <w:pPr>
        <w:spacing w:after="0"/>
        <w:rPr>
          <w:sz w:val="20"/>
          <w:szCs w:val="20"/>
          <w:color w:val="auto"/>
        </w:rPr>
      </w:pPr>
      <w:r>
        <w:rPr>
          <w:rFonts w:ascii="Calibri" w:cs="Calibri" w:eastAsia="Calibri" w:hAnsi="Calibri"/>
          <w:sz w:val="16"/>
          <w:szCs w:val="16"/>
          <w:color w:val="auto"/>
        </w:rPr>
        <w:t>For the United States</w:t>
      </w:r>
    </w:p>
    <w:p>
      <w:pPr>
        <w:spacing w:after="0" w:line="24" w:lineRule="exact"/>
        <w:rPr>
          <w:sz w:val="20"/>
          <w:szCs w:val="20"/>
          <w:color w:val="auto"/>
        </w:rPr>
      </w:pPr>
    </w:p>
    <w:p>
      <w:pPr>
        <w:spacing w:after="0"/>
        <w:rPr>
          <w:sz w:val="20"/>
          <w:szCs w:val="20"/>
          <w:color w:val="auto"/>
        </w:rPr>
      </w:pPr>
      <w:r>
        <w:rPr>
          <w:rFonts w:ascii="Calibri" w:cs="Calibri" w:eastAsia="Calibri" w:hAnsi="Calibri"/>
          <w:sz w:val="18"/>
          <w:szCs w:val="18"/>
          <w:b w:val="1"/>
          <w:bCs w:val="1"/>
          <w:color w:val="063D71"/>
        </w:rPr>
        <w:t>Compliance Notice.</w:t>
      </w:r>
    </w:p>
    <w:p>
      <w:pPr>
        <w:spacing w:after="0" w:line="68" w:lineRule="exact"/>
        <w:rPr>
          <w:sz w:val="20"/>
          <w:szCs w:val="20"/>
          <w:color w:val="auto"/>
        </w:rPr>
      </w:pPr>
    </w:p>
    <w:p>
      <w:pPr>
        <w:jc w:val="both"/>
        <w:spacing w:after="0" w:line="223" w:lineRule="auto"/>
        <w:rPr>
          <w:sz w:val="20"/>
          <w:szCs w:val="20"/>
          <w:color w:val="auto"/>
        </w:rPr>
      </w:pPr>
      <w:r>
        <w:rPr>
          <w:rFonts w:ascii="Calibri" w:cs="Calibri" w:eastAsia="Calibri" w:hAnsi="Calibri"/>
          <w:sz w:val="16"/>
          <w:szCs w:val="16"/>
          <w:color w:val="auto"/>
        </w:rPr>
        <w:t>This research report prepared by AKD Securities Limited is distributed in the United States to Major US Institutional Investors (as defined in Rule 15a-6 under the Securities Exchange Act of 1934, as amended) only by Decker &amp; Co, LLC, a broker-dealer registered in the US (registered under Section 15 of Securities Exchange Act of 1934, as amended). All responsibility for the distribution of this report by Decker &amp; Co, LLC in the US shall be borne by Decker &amp; Co, LLC. All resulting transactions by a US person or entity should be effected through a registered broker-dealer in the US. This report is not directed at you if AKD Securities Limited or Decker &amp; Co, LLC is prohibited or restricted by any legislation or regulation in any jurisdiction from making it available to you. You should satisfy yourself before reading it that Decker &amp; Co, LLC and AKD Securities Limited are permitted to provide research material concerning investment to you under relevant applicable legislations and regulations.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5599430</wp:posOffset>
            </wp:positionH>
            <wp:positionV relativeFrom="paragraph">
              <wp:posOffset>26670</wp:posOffset>
            </wp:positionV>
            <wp:extent cx="659765" cy="3689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extLst>
                    </a:blip>
                    <a:srcRect/>
                    <a:stretch>
                      <a:fillRect/>
                    </a:stretch>
                  </pic:blipFill>
                  <pic:spPr bwMode="auto">
                    <a:xfrm>
                      <a:off x="0" y="0"/>
                      <a:ext cx="659765" cy="368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8640"/>
        <w:spacing w:after="0"/>
        <w:rPr>
          <w:sz w:val="20"/>
          <w:szCs w:val="20"/>
          <w:color w:val="auto"/>
        </w:rPr>
      </w:pPr>
      <w:r>
        <w:rPr>
          <w:rFonts w:ascii="Calibri" w:cs="Calibri" w:eastAsia="Calibri" w:hAnsi="Calibri"/>
          <w:sz w:val="16"/>
          <w:szCs w:val="16"/>
          <w:color w:val="auto"/>
        </w:rPr>
        <w:t>AKD Securities Limited</w:t>
      </w:r>
    </w:p>
    <w:p>
      <w:pPr>
        <w:spacing w:after="0" w:line="97" w:lineRule="exact"/>
        <w:rPr>
          <w:sz w:val="20"/>
          <w:szCs w:val="20"/>
          <w:color w:val="auto"/>
        </w:rPr>
      </w:pPr>
    </w:p>
    <w:p>
      <w:pPr>
        <w:ind w:left="8380"/>
        <w:spacing w:after="0"/>
        <w:rPr>
          <w:sz w:val="20"/>
          <w:szCs w:val="20"/>
          <w:color w:val="auto"/>
        </w:rPr>
      </w:pPr>
      <w:r>
        <w:rPr>
          <w:rFonts w:ascii="Calibri" w:cs="Calibri" w:eastAsia="Calibri" w:hAnsi="Calibri"/>
          <w:sz w:val="16"/>
          <w:szCs w:val="16"/>
          <w:color w:val="auto"/>
        </w:rPr>
        <w:t>602, Continental Trade Centre,</w:t>
      </w:r>
    </w:p>
    <w:p>
      <w:pPr>
        <w:jc w:val="center"/>
        <w:ind w:left="8060"/>
        <w:spacing w:after="0" w:line="218" w:lineRule="auto"/>
        <w:rPr>
          <w:sz w:val="20"/>
          <w:szCs w:val="20"/>
          <w:color w:val="auto"/>
        </w:rPr>
      </w:pPr>
      <w:r>
        <w:rPr>
          <w:rFonts w:ascii="Calibri" w:cs="Calibri" w:eastAsia="Calibri" w:hAnsi="Calibri"/>
          <w:sz w:val="16"/>
          <w:szCs w:val="16"/>
          <w:color w:val="auto"/>
        </w:rPr>
        <w:t>Clifton Block 8, Karachi, Pakistan.</w:t>
      </w:r>
    </w:p>
    <w:p>
      <w:pPr>
        <w:jc w:val="center"/>
        <w:ind w:left="8060"/>
        <w:spacing w:after="0" w:line="218" w:lineRule="auto"/>
        <w:rPr>
          <w:sz w:val="20"/>
          <w:szCs w:val="20"/>
          <w:color w:val="auto"/>
        </w:rPr>
      </w:pPr>
      <w:r>
        <w:rPr>
          <w:rFonts w:ascii="Calibri" w:cs="Calibri" w:eastAsia="Calibri" w:hAnsi="Calibri"/>
          <w:sz w:val="16"/>
          <w:szCs w:val="16"/>
          <w:color w:val="auto"/>
        </w:rPr>
        <w:t>research@akdsl.com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-494665</wp:posOffset>
            </wp:positionH>
            <wp:positionV relativeFrom="paragraph">
              <wp:posOffset>225425</wp:posOffset>
            </wp:positionV>
            <wp:extent cx="7772400" cy="28702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extLst>
                    </a:blip>
                    <a:srcRect/>
                    <a:stretch>
                      <a:fillRect/>
                    </a:stretch>
                  </pic:blipFill>
                  <pic:spPr bwMode="auto">
                    <a:xfrm>
                      <a:off x="0" y="0"/>
                      <a:ext cx="7772400" cy="287020"/>
                    </a:xfrm>
                    <a:prstGeom prst="rect">
                      <a:avLst/>
                    </a:prstGeom>
                    <a:noFill/>
                  </pic:spPr>
                </pic:pic>
              </a:graphicData>
            </a:graphic>
          </wp:anchor>
        </w:drawing>
      </w:r>
    </w:p>
    <w:sectPr>
      <w:pgSz w:w="12240" w:h="15840" w:orient="portrait"/>
      <w:cols w:equalWidth="0" w:num="1">
        <w:col w:w="10680"/>
      </w:cols>
      <w:pgMar w:left="780" w:top="58" w:right="780" w:bottom="243"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 w:name="SimSun">
    <w:panose1 w:val="02010600030101010101"/>
    <w:charset w:val="86"/>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
      <w:numFmt w:val="bullet"/>
      <w:start w:val="1"/>
    </w:lvl>
  </w:abstractNum>
  <w:abstractNum w:abstractNumId="1">
    <w:nsid w:val="66334873"/>
    <w:multiLevelType w:val="hybridMultilevel"/>
    <w:lvl w:ilvl="0">
      <w:lvlJc w:val="left"/>
      <w:lvlText w:val=" "/>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2023-11-10T20:31:15Z</dcterms:created>
  <dcterms:modified xsi:type="dcterms:W3CDTF">2023-11-10T20:31:15Z</dcterms:modified>
</cp:coreProperties>
</file>